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CC12F" w14:textId="4EF7D3CC" w:rsidR="004B2616" w:rsidRPr="001E0E29" w:rsidRDefault="004B2616" w:rsidP="001E0E2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bCs/>
          <w:sz w:val="22"/>
          <w:szCs w:val="22"/>
          <w:shd w:val="clear" w:color="auto" w:fill="FEFB00"/>
          <w14:textOutline w14:w="0" w14:cap="flat" w14:cmpd="sng" w14:algn="ctr">
            <w14:noFill/>
            <w14:prstDash w14:val="solid"/>
            <w14:bevel/>
          </w14:textOutline>
        </w:rPr>
      </w:pPr>
      <w:bookmarkStart w:id="0" w:name="_GoBack"/>
      <w:bookmarkEnd w:id="0"/>
      <w:r w:rsidRPr="001E0E29">
        <w:rPr>
          <w:rFonts w:ascii="Calibri" w:eastAsia="Arial Unicode MS" w:hAnsi="Calibri" w:cs="Calibri"/>
          <w:bCs/>
          <w:sz w:val="22"/>
          <w:szCs w:val="22"/>
          <w14:textOutline w14:w="0" w14:cap="flat" w14:cmpd="sng" w14:algn="ctr">
            <w14:noFill/>
            <w14:prstDash w14:val="solid"/>
            <w14:bevel/>
          </w14:textOutline>
        </w:rPr>
        <w:t xml:space="preserve">Left </w:t>
      </w:r>
      <w:r w:rsidR="002F47A5" w:rsidRPr="009B0F6E">
        <w:rPr>
          <w:rFonts w:ascii="Calibri" w:eastAsia="Arial Unicode MS" w:hAnsi="Calibri" w:cs="Calibri"/>
          <w:bCs/>
          <w:sz w:val="22"/>
          <w:szCs w:val="22"/>
          <w14:textOutline w14:w="0" w14:cap="flat" w14:cmpd="sng" w14:algn="ctr">
            <w14:noFill/>
            <w14:prstDash w14:val="solid"/>
            <w14:bevel/>
          </w14:textOutline>
        </w:rPr>
        <w:t>A</w:t>
      </w:r>
      <w:r w:rsidRPr="001E0E29">
        <w:rPr>
          <w:rFonts w:ascii="Calibri" w:eastAsia="Arial Unicode MS" w:hAnsi="Calibri" w:cs="Calibri"/>
          <w:bCs/>
          <w:sz w:val="22"/>
          <w:szCs w:val="22"/>
          <w14:textOutline w14:w="0" w14:cap="flat" w14:cmpd="sng" w14:algn="ctr">
            <w14:noFill/>
            <w14:prstDash w14:val="solid"/>
            <w14:bevel/>
          </w14:textOutline>
        </w:rPr>
        <w:t xml:space="preserve">trial </w:t>
      </w:r>
      <w:r w:rsidR="002F47A5" w:rsidRPr="009B0F6E">
        <w:rPr>
          <w:rFonts w:ascii="Calibri" w:eastAsia="Arial Unicode MS" w:hAnsi="Calibri" w:cs="Calibri"/>
          <w:bCs/>
          <w:sz w:val="22"/>
          <w:szCs w:val="22"/>
          <w14:textOutline w14:w="0" w14:cap="flat" w14:cmpd="sng" w14:algn="ctr">
            <w14:noFill/>
            <w14:prstDash w14:val="solid"/>
            <w14:bevel/>
          </w14:textOutline>
        </w:rPr>
        <w:t>A</w:t>
      </w:r>
      <w:r w:rsidRPr="001E0E29">
        <w:rPr>
          <w:rFonts w:ascii="Calibri" w:eastAsia="Arial Unicode MS" w:hAnsi="Calibri" w:cs="Calibri"/>
          <w:bCs/>
          <w:sz w:val="22"/>
          <w:szCs w:val="22"/>
          <w14:textOutline w14:w="0" w14:cap="flat" w14:cmpd="sng" w14:algn="ctr">
            <w14:noFill/>
            <w14:prstDash w14:val="solid"/>
            <w14:bevel/>
          </w14:textOutline>
        </w:rPr>
        <w:t xml:space="preserve">ppendage </w:t>
      </w:r>
      <w:r w:rsidR="002F47A5" w:rsidRPr="009B0F6E">
        <w:rPr>
          <w:rFonts w:ascii="Calibri" w:eastAsia="Arial Unicode MS" w:hAnsi="Calibri" w:cs="Calibri"/>
          <w:bCs/>
          <w:sz w:val="22"/>
          <w:szCs w:val="22"/>
          <w14:textOutline w14:w="0" w14:cap="flat" w14:cmpd="sng" w14:algn="ctr">
            <w14:noFill/>
            <w14:prstDash w14:val="solid"/>
            <w14:bevel/>
          </w14:textOutline>
        </w:rPr>
        <w:t>C</w:t>
      </w:r>
      <w:r w:rsidRPr="001E0E29">
        <w:rPr>
          <w:rFonts w:ascii="Calibri" w:eastAsia="Arial Unicode MS" w:hAnsi="Calibri" w:cs="Calibri"/>
          <w:bCs/>
          <w:sz w:val="22"/>
          <w:szCs w:val="22"/>
          <w14:textOutline w14:w="0" w14:cap="flat" w14:cmpd="sng" w14:algn="ctr">
            <w14:noFill/>
            <w14:prstDash w14:val="solid"/>
            <w14:bevel/>
          </w14:textOutline>
        </w:rPr>
        <w:t>losure:</w:t>
      </w:r>
      <w:r w:rsidR="00673F1D" w:rsidRPr="001E0E29">
        <w:rPr>
          <w:rFonts w:ascii="Calibri" w:eastAsia="Arial Unicode MS" w:hAnsi="Calibri" w:cs="Calibri"/>
          <w:bCs/>
          <w:sz w:val="22"/>
          <w:szCs w:val="22"/>
          <w14:textOutline w14:w="0" w14:cap="flat" w14:cmpd="sng" w14:algn="ctr">
            <w14:noFill/>
            <w14:prstDash w14:val="solid"/>
            <w14:bevel/>
          </w14:textOutline>
        </w:rPr>
        <w:t xml:space="preserve"> </w:t>
      </w:r>
      <w:r w:rsidR="002F47A5" w:rsidRPr="009B0F6E">
        <w:rPr>
          <w:rFonts w:ascii="Calibri" w:hAnsi="Calibri" w:cs="Calibri"/>
          <w:bCs/>
          <w:sz w:val="22"/>
          <w:szCs w:val="22"/>
        </w:rPr>
        <w:t>P</w:t>
      </w:r>
      <w:r w:rsidRPr="001E0E29">
        <w:rPr>
          <w:rFonts w:ascii="Calibri" w:hAnsi="Calibri" w:cs="Calibri"/>
          <w:bCs/>
          <w:sz w:val="22"/>
          <w:szCs w:val="22"/>
        </w:rPr>
        <w:t xml:space="preserve">ast, </w:t>
      </w:r>
      <w:r w:rsidR="002F47A5" w:rsidRPr="009B0F6E">
        <w:rPr>
          <w:rFonts w:ascii="Calibri" w:hAnsi="Calibri" w:cs="Calibri"/>
          <w:bCs/>
          <w:sz w:val="22"/>
          <w:szCs w:val="22"/>
        </w:rPr>
        <w:t>P</w:t>
      </w:r>
      <w:r w:rsidRPr="001E0E29">
        <w:rPr>
          <w:rFonts w:ascii="Calibri" w:hAnsi="Calibri" w:cs="Calibri"/>
          <w:bCs/>
          <w:sz w:val="22"/>
          <w:szCs w:val="22"/>
        </w:rPr>
        <w:t xml:space="preserve">resent, and </w:t>
      </w:r>
      <w:r w:rsidR="002F47A5" w:rsidRPr="009B0F6E">
        <w:rPr>
          <w:rFonts w:ascii="Calibri" w:hAnsi="Calibri" w:cs="Calibri"/>
          <w:bCs/>
          <w:sz w:val="22"/>
          <w:szCs w:val="22"/>
        </w:rPr>
        <w:t>F</w:t>
      </w:r>
      <w:r w:rsidRPr="001E0E29">
        <w:rPr>
          <w:rFonts w:ascii="Calibri" w:hAnsi="Calibri" w:cs="Calibri"/>
          <w:bCs/>
          <w:sz w:val="22"/>
          <w:szCs w:val="22"/>
        </w:rPr>
        <w:t>uture</w:t>
      </w:r>
    </w:p>
    <w:p w14:paraId="4DE442AB" w14:textId="77777777" w:rsidR="002F47A5" w:rsidRPr="009B0F6E" w:rsidRDefault="002F47A5" w:rsidP="003A7AD9">
      <w:pPr>
        <w:widowControl w:val="0"/>
        <w:rPr>
          <w:rFonts w:ascii="Calibri" w:hAnsi="Calibri" w:cs="Calibri"/>
          <w:bCs/>
          <w:sz w:val="22"/>
          <w:szCs w:val="22"/>
        </w:rPr>
      </w:pPr>
    </w:p>
    <w:p w14:paraId="5F37D284" w14:textId="77777777" w:rsidR="002F47A5" w:rsidRPr="009B0F6E" w:rsidRDefault="002F47A5" w:rsidP="003A7AD9">
      <w:pPr>
        <w:widowControl w:val="0"/>
        <w:rPr>
          <w:rFonts w:ascii="Calibri" w:hAnsi="Calibri" w:cs="Calibri"/>
          <w:bCs/>
          <w:sz w:val="22"/>
          <w:szCs w:val="22"/>
        </w:rPr>
      </w:pPr>
      <w:r w:rsidRPr="009B0F6E">
        <w:rPr>
          <w:rFonts w:ascii="Calibri" w:hAnsi="Calibri" w:cs="Calibri"/>
          <w:bCs/>
          <w:sz w:val="22"/>
          <w:szCs w:val="22"/>
        </w:rPr>
        <w:t xml:space="preserve">Running Title: </w:t>
      </w:r>
    </w:p>
    <w:p w14:paraId="48DE77DB" w14:textId="77777777" w:rsidR="002F47A5" w:rsidRPr="009B0F6E" w:rsidRDefault="002F47A5" w:rsidP="003A7AD9">
      <w:pPr>
        <w:widowControl w:val="0"/>
        <w:rPr>
          <w:rFonts w:ascii="Calibri" w:hAnsi="Calibri" w:cs="Calibri"/>
          <w:bCs/>
          <w:sz w:val="22"/>
          <w:szCs w:val="22"/>
        </w:rPr>
      </w:pPr>
    </w:p>
    <w:p w14:paraId="3339490C" w14:textId="14850E02" w:rsidR="004B2616" w:rsidRPr="009B0F6E" w:rsidRDefault="002F47A5" w:rsidP="003A7AD9">
      <w:pPr>
        <w:widowControl w:val="0"/>
        <w:rPr>
          <w:rFonts w:ascii="Calibri" w:hAnsi="Calibri" w:cs="Calibri"/>
          <w:b/>
          <w:bCs/>
          <w:sz w:val="22"/>
          <w:szCs w:val="22"/>
        </w:rPr>
      </w:pPr>
      <w:r w:rsidRPr="009B0F6E">
        <w:rPr>
          <w:rFonts w:ascii="Calibri" w:hAnsi="Calibri" w:cs="Calibri"/>
          <w:bCs/>
          <w:sz w:val="22"/>
          <w:szCs w:val="22"/>
        </w:rPr>
        <w:t xml:space="preserve">DOI: </w:t>
      </w:r>
    </w:p>
    <w:p w14:paraId="19A8EF51" w14:textId="77777777" w:rsidR="002F47A5" w:rsidRPr="009B0F6E" w:rsidRDefault="002F47A5" w:rsidP="003A7AD9">
      <w:pPr>
        <w:widowControl w:val="0"/>
        <w:rPr>
          <w:rFonts w:ascii="Calibri" w:hAnsi="Calibri" w:cs="Calibri"/>
          <w:b/>
          <w:bCs/>
          <w:sz w:val="22"/>
          <w:szCs w:val="22"/>
        </w:rPr>
      </w:pPr>
    </w:p>
    <w:p w14:paraId="6780FF63" w14:textId="741741CC" w:rsidR="00343CEC" w:rsidRPr="009B0F6E" w:rsidRDefault="00457710" w:rsidP="003A7AD9">
      <w:pPr>
        <w:widowControl w:val="0"/>
        <w:rPr>
          <w:rFonts w:ascii="Calibri" w:hAnsi="Calibri" w:cs="Calibri"/>
          <w:sz w:val="22"/>
          <w:szCs w:val="22"/>
        </w:rPr>
      </w:pPr>
      <w:r w:rsidRPr="009B0F6E">
        <w:rPr>
          <w:rFonts w:ascii="Calibri" w:hAnsi="Calibri" w:cs="Calibri"/>
          <w:sz w:val="22"/>
          <w:szCs w:val="22"/>
        </w:rPr>
        <w:t>Elio Zito, MD</w:t>
      </w:r>
      <w:r w:rsidRPr="001E0E29">
        <w:rPr>
          <w:rFonts w:ascii="Calibri" w:hAnsi="Calibri" w:cs="Calibri"/>
          <w:sz w:val="22"/>
          <w:szCs w:val="22"/>
          <w:vertAlign w:val="superscript"/>
        </w:rPr>
        <w:t>1</w:t>
      </w:r>
      <w:r w:rsidR="00DF3253" w:rsidRPr="009B0F6E">
        <w:rPr>
          <w:rFonts w:ascii="Calibri" w:hAnsi="Calibri" w:cs="Calibri"/>
          <w:sz w:val="22"/>
          <w:szCs w:val="22"/>
          <w:vertAlign w:val="superscript"/>
        </w:rPr>
        <w:t>,2</w:t>
      </w:r>
      <w:r w:rsidRPr="009B0F6E">
        <w:rPr>
          <w:rFonts w:ascii="Calibri" w:hAnsi="Calibri" w:cs="Calibri"/>
          <w:sz w:val="22"/>
          <w:szCs w:val="22"/>
        </w:rPr>
        <w:t xml:space="preserve">, </w:t>
      </w:r>
      <w:r w:rsidR="00D86F35" w:rsidRPr="009B0F6E">
        <w:rPr>
          <w:rFonts w:ascii="Calibri" w:hAnsi="Calibri" w:cs="Calibri"/>
          <w:sz w:val="22"/>
          <w:szCs w:val="22"/>
        </w:rPr>
        <w:t>Pamela Horton Embrey, MD</w:t>
      </w:r>
      <w:r w:rsidR="00DF3253" w:rsidRPr="001E0E29">
        <w:rPr>
          <w:rFonts w:ascii="Calibri" w:hAnsi="Calibri" w:cs="Calibri"/>
          <w:sz w:val="22"/>
          <w:szCs w:val="22"/>
          <w:vertAlign w:val="superscript"/>
        </w:rPr>
        <w:t>3</w:t>
      </w:r>
      <w:r w:rsidR="00D86F35" w:rsidRPr="009B0F6E">
        <w:rPr>
          <w:rFonts w:ascii="Calibri" w:hAnsi="Calibri" w:cs="Calibri"/>
          <w:sz w:val="22"/>
          <w:szCs w:val="22"/>
        </w:rPr>
        <w:t>, Vincenzo Mirco La Fazia, MD</w:t>
      </w:r>
      <w:r w:rsidR="00DF3253" w:rsidRPr="001E0E29">
        <w:rPr>
          <w:rFonts w:ascii="Calibri" w:hAnsi="Calibri" w:cs="Calibri"/>
          <w:sz w:val="22"/>
          <w:szCs w:val="22"/>
          <w:vertAlign w:val="superscript"/>
        </w:rPr>
        <w:t>2,4</w:t>
      </w:r>
      <w:r w:rsidR="00D86F35" w:rsidRPr="009B0F6E">
        <w:rPr>
          <w:rFonts w:ascii="Calibri" w:hAnsi="Calibri" w:cs="Calibri"/>
          <w:sz w:val="22"/>
          <w:szCs w:val="22"/>
        </w:rPr>
        <w:t>, Carola Gianni, MD, PhD</w:t>
      </w:r>
      <w:r w:rsidR="00DF3253" w:rsidRPr="001E0E29">
        <w:rPr>
          <w:rFonts w:ascii="Calibri" w:hAnsi="Calibri" w:cs="Calibri"/>
          <w:sz w:val="22"/>
          <w:szCs w:val="22"/>
          <w:vertAlign w:val="superscript"/>
        </w:rPr>
        <w:t>2</w:t>
      </w:r>
      <w:r w:rsidR="00D86F35" w:rsidRPr="009B0F6E">
        <w:rPr>
          <w:rFonts w:ascii="Calibri" w:hAnsi="Calibri" w:cs="Calibri"/>
          <w:sz w:val="22"/>
          <w:szCs w:val="22"/>
        </w:rPr>
        <w:t>, Sanghamitra Mohanty, MD, MS</w:t>
      </w:r>
      <w:r w:rsidR="00DF3253" w:rsidRPr="009B0F6E">
        <w:rPr>
          <w:rFonts w:ascii="Calibri" w:hAnsi="Calibri" w:cs="Calibri"/>
          <w:sz w:val="22"/>
          <w:szCs w:val="22"/>
          <w:vertAlign w:val="superscript"/>
        </w:rPr>
        <w:t>2</w:t>
      </w:r>
      <w:r w:rsidR="00D86F35" w:rsidRPr="009B0F6E">
        <w:rPr>
          <w:rFonts w:ascii="Calibri" w:hAnsi="Calibri" w:cs="Calibri"/>
          <w:sz w:val="22"/>
          <w:szCs w:val="22"/>
        </w:rPr>
        <w:t>, Claudio Tondo, MD, PhD</w:t>
      </w:r>
      <w:r w:rsidR="00DF3253" w:rsidRPr="001E0E29">
        <w:rPr>
          <w:rFonts w:ascii="Calibri" w:hAnsi="Calibri" w:cs="Calibri"/>
          <w:sz w:val="22"/>
          <w:szCs w:val="22"/>
          <w:vertAlign w:val="superscript"/>
        </w:rPr>
        <w:t>1,5</w:t>
      </w:r>
      <w:r w:rsidR="00D86F35" w:rsidRPr="009B0F6E">
        <w:rPr>
          <w:rFonts w:ascii="Calibri" w:hAnsi="Calibri" w:cs="Calibri"/>
          <w:sz w:val="22"/>
          <w:szCs w:val="22"/>
        </w:rPr>
        <w:t>, Andrea Natale, MD</w:t>
      </w:r>
      <w:r w:rsidR="00DF3253" w:rsidRPr="001E0E29">
        <w:rPr>
          <w:rFonts w:ascii="Calibri" w:hAnsi="Calibri" w:cs="Calibri"/>
          <w:sz w:val="22"/>
          <w:szCs w:val="22"/>
          <w:vertAlign w:val="superscript"/>
        </w:rPr>
        <w:t>2,6,</w:t>
      </w:r>
      <w:r w:rsidR="00D86F35" w:rsidRPr="001E0E29">
        <w:rPr>
          <w:rFonts w:ascii="Calibri" w:hAnsi="Calibri" w:cs="Calibri"/>
          <w:sz w:val="22"/>
          <w:szCs w:val="22"/>
          <w:vertAlign w:val="superscript"/>
        </w:rPr>
        <w:t>7</w:t>
      </w:r>
      <w:r w:rsidR="00DF3253" w:rsidRPr="009B0F6E">
        <w:rPr>
          <w:rFonts w:ascii="Calibri" w:hAnsi="Calibri" w:cs="Calibri"/>
          <w:sz w:val="22"/>
          <w:szCs w:val="22"/>
          <w:vertAlign w:val="superscript"/>
        </w:rPr>
        <w:t>,8</w:t>
      </w:r>
      <w:r w:rsidR="00D86F35" w:rsidRPr="009B0F6E">
        <w:rPr>
          <w:rFonts w:ascii="Calibri" w:hAnsi="Calibri" w:cs="Calibri"/>
          <w:sz w:val="22"/>
          <w:szCs w:val="22"/>
        </w:rPr>
        <w:t xml:space="preserve"> and Rodney Horton, MD</w:t>
      </w:r>
      <w:r w:rsidR="00DF3253" w:rsidRPr="009B0F6E">
        <w:rPr>
          <w:rFonts w:ascii="Calibri" w:hAnsi="Calibri" w:cs="Calibri"/>
          <w:sz w:val="22"/>
          <w:szCs w:val="22"/>
          <w:vertAlign w:val="superscript"/>
        </w:rPr>
        <w:t>2</w:t>
      </w:r>
    </w:p>
    <w:p w14:paraId="24951965" w14:textId="77777777" w:rsidR="00D86F35" w:rsidRPr="009B0F6E" w:rsidRDefault="00D86F35" w:rsidP="003A7AD9">
      <w:pPr>
        <w:widowControl w:val="0"/>
        <w:rPr>
          <w:rFonts w:ascii="Calibri" w:hAnsi="Calibri" w:cs="Calibri"/>
          <w:b/>
          <w:bCs/>
          <w:sz w:val="22"/>
          <w:szCs w:val="22"/>
        </w:rPr>
      </w:pPr>
    </w:p>
    <w:p w14:paraId="0176EB96" w14:textId="560105BB" w:rsidR="00CD652B"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1</w:t>
      </w:r>
      <w:r w:rsidR="004B2616" w:rsidRPr="009B0F6E">
        <w:rPr>
          <w:rFonts w:ascii="Calibri" w:hAnsi="Calibri" w:cs="Calibri"/>
          <w:sz w:val="22"/>
          <w:szCs w:val="22"/>
        </w:rPr>
        <w:t>University of Milan</w:t>
      </w:r>
      <w:r w:rsidR="00982016" w:rsidRPr="009B0F6E">
        <w:rPr>
          <w:rFonts w:ascii="Calibri" w:hAnsi="Calibri" w:cs="Calibri"/>
          <w:sz w:val="22"/>
          <w:szCs w:val="22"/>
        </w:rPr>
        <w:t>,</w:t>
      </w:r>
      <w:r w:rsidR="004B2616" w:rsidRPr="009B0F6E">
        <w:rPr>
          <w:rFonts w:ascii="Calibri" w:hAnsi="Calibri" w:cs="Calibri"/>
          <w:sz w:val="22"/>
          <w:szCs w:val="22"/>
        </w:rPr>
        <w:t xml:space="preserve"> Via Festa </w:t>
      </w:r>
      <w:proofErr w:type="gramStart"/>
      <w:r w:rsidR="004B2616" w:rsidRPr="009B0F6E">
        <w:rPr>
          <w:rFonts w:ascii="Calibri" w:hAnsi="Calibri" w:cs="Calibri"/>
          <w:sz w:val="22"/>
          <w:szCs w:val="22"/>
        </w:rPr>
        <w:t>del</w:t>
      </w:r>
      <w:proofErr w:type="gramEnd"/>
      <w:r w:rsidR="004B2616" w:rsidRPr="009B0F6E">
        <w:rPr>
          <w:rFonts w:ascii="Calibri" w:hAnsi="Calibri" w:cs="Calibri"/>
          <w:sz w:val="22"/>
          <w:szCs w:val="22"/>
        </w:rPr>
        <w:t xml:space="preserve"> Perdono, 7, 20122, Milan, Italy</w:t>
      </w:r>
    </w:p>
    <w:p w14:paraId="37B43278" w14:textId="0045B426" w:rsidR="004B2616"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2</w:t>
      </w:r>
      <w:r w:rsidR="004B2616" w:rsidRPr="009B0F6E">
        <w:rPr>
          <w:rFonts w:ascii="Calibri" w:hAnsi="Calibri" w:cs="Calibri"/>
          <w:sz w:val="22"/>
          <w:szCs w:val="22"/>
        </w:rPr>
        <w:t>Texas Cardiac Arrhythmia Institute, St. Davids Medical Center, 3000 N Interstate 35, Suite 700, 78705, Austin, TX, USA</w:t>
      </w:r>
    </w:p>
    <w:p w14:paraId="1700E8A8" w14:textId="2429236B" w:rsidR="004B2616"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3</w:t>
      </w:r>
      <w:r w:rsidR="004B2616" w:rsidRPr="009B0F6E">
        <w:rPr>
          <w:rFonts w:ascii="Calibri" w:hAnsi="Calibri" w:cs="Calibri"/>
          <w:sz w:val="22"/>
          <w:szCs w:val="22"/>
        </w:rPr>
        <w:t xml:space="preserve">Division of Internal Medicine, </w:t>
      </w:r>
      <w:proofErr w:type="gramStart"/>
      <w:r w:rsidR="004B2616" w:rsidRPr="009B0F6E">
        <w:rPr>
          <w:rFonts w:ascii="Calibri" w:hAnsi="Calibri" w:cs="Calibri"/>
          <w:sz w:val="22"/>
          <w:szCs w:val="22"/>
        </w:rPr>
        <w:t>The</w:t>
      </w:r>
      <w:proofErr w:type="gramEnd"/>
      <w:r w:rsidR="004B2616" w:rsidRPr="009B0F6E">
        <w:rPr>
          <w:rFonts w:ascii="Calibri" w:hAnsi="Calibri" w:cs="Calibri"/>
          <w:sz w:val="22"/>
          <w:szCs w:val="22"/>
        </w:rPr>
        <w:t xml:space="preserve"> University of Texas Health Science Center at Houston, Houston, TX, USA</w:t>
      </w:r>
    </w:p>
    <w:p w14:paraId="18EA3E50" w14:textId="4A62CC9C" w:rsidR="004B2616"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4</w:t>
      </w:r>
      <w:r w:rsidR="004B2616" w:rsidRPr="009B0F6E">
        <w:rPr>
          <w:rFonts w:ascii="Calibri" w:hAnsi="Calibri" w:cs="Calibri"/>
          <w:sz w:val="22"/>
          <w:szCs w:val="22"/>
        </w:rPr>
        <w:t>Università Tor Vergata, Via Cracovia, 50, 00133</w:t>
      </w:r>
      <w:r w:rsidR="00C54D2B" w:rsidRPr="009B0F6E">
        <w:rPr>
          <w:rFonts w:ascii="Calibri" w:hAnsi="Calibri" w:cs="Calibri"/>
          <w:sz w:val="22"/>
          <w:szCs w:val="22"/>
        </w:rPr>
        <w:t>,</w:t>
      </w:r>
      <w:r w:rsidR="004B2616" w:rsidRPr="009B0F6E">
        <w:rPr>
          <w:rFonts w:ascii="Calibri" w:hAnsi="Calibri" w:cs="Calibri"/>
          <w:sz w:val="22"/>
          <w:szCs w:val="22"/>
        </w:rPr>
        <w:t xml:space="preserve"> Rome, Italy</w:t>
      </w:r>
    </w:p>
    <w:p w14:paraId="7D4AC124" w14:textId="156D75DF" w:rsidR="004B2616"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5</w:t>
      </w:r>
      <w:r w:rsidR="004B2616" w:rsidRPr="009B0F6E">
        <w:rPr>
          <w:rFonts w:ascii="Calibri" w:hAnsi="Calibri" w:cs="Calibri"/>
          <w:sz w:val="22"/>
          <w:szCs w:val="22"/>
        </w:rPr>
        <w:t>Centro Cardiologico Monzino</w:t>
      </w:r>
      <w:r w:rsidR="00E932D8" w:rsidRPr="009B0F6E">
        <w:rPr>
          <w:rFonts w:ascii="Calibri" w:hAnsi="Calibri" w:cs="Calibri"/>
          <w:sz w:val="22"/>
          <w:szCs w:val="22"/>
        </w:rPr>
        <w:t>,</w:t>
      </w:r>
      <w:r w:rsidR="004B2616" w:rsidRPr="009B0F6E">
        <w:rPr>
          <w:rFonts w:ascii="Calibri" w:hAnsi="Calibri" w:cs="Calibri"/>
          <w:sz w:val="22"/>
          <w:szCs w:val="22"/>
        </w:rPr>
        <w:t xml:space="preserve"> IRCCS</w:t>
      </w:r>
      <w:r w:rsidR="00E932D8" w:rsidRPr="009B0F6E">
        <w:rPr>
          <w:rFonts w:ascii="Calibri" w:hAnsi="Calibri" w:cs="Calibri"/>
          <w:sz w:val="22"/>
          <w:szCs w:val="22"/>
        </w:rPr>
        <w:t>,</w:t>
      </w:r>
      <w:r w:rsidR="004B2616" w:rsidRPr="009B0F6E">
        <w:rPr>
          <w:rFonts w:ascii="Calibri" w:hAnsi="Calibri" w:cs="Calibri"/>
          <w:sz w:val="22"/>
          <w:szCs w:val="22"/>
        </w:rPr>
        <w:t xml:space="preserve"> Via Carlo Parea 4, 20138, Milan, Italy</w:t>
      </w:r>
    </w:p>
    <w:p w14:paraId="1EA699EC" w14:textId="78181546" w:rsidR="00CD652B"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6</w:t>
      </w:r>
      <w:r w:rsidR="004B2616" w:rsidRPr="009B0F6E">
        <w:rPr>
          <w:rFonts w:ascii="Calibri" w:hAnsi="Calibri" w:cs="Calibri"/>
          <w:sz w:val="22"/>
          <w:szCs w:val="22"/>
        </w:rPr>
        <w:t>Università Tor Vergata</w:t>
      </w:r>
      <w:r w:rsidR="005F74CB" w:rsidRPr="009B0F6E">
        <w:rPr>
          <w:rFonts w:ascii="Calibri" w:hAnsi="Calibri" w:cs="Calibri"/>
          <w:sz w:val="22"/>
          <w:szCs w:val="22"/>
        </w:rPr>
        <w:t>,</w:t>
      </w:r>
      <w:r w:rsidR="004B2616" w:rsidRPr="009B0F6E">
        <w:rPr>
          <w:rFonts w:ascii="Calibri" w:hAnsi="Calibri" w:cs="Calibri"/>
          <w:sz w:val="22"/>
          <w:szCs w:val="22"/>
        </w:rPr>
        <w:t xml:space="preserve"> Via Cracovia, 50, 00133</w:t>
      </w:r>
      <w:r w:rsidR="00C54D2B" w:rsidRPr="009B0F6E">
        <w:rPr>
          <w:rFonts w:ascii="Calibri" w:hAnsi="Calibri" w:cs="Calibri"/>
          <w:sz w:val="22"/>
          <w:szCs w:val="22"/>
        </w:rPr>
        <w:t>,</w:t>
      </w:r>
      <w:r w:rsidR="004B2616" w:rsidRPr="009B0F6E">
        <w:rPr>
          <w:rFonts w:ascii="Calibri" w:hAnsi="Calibri" w:cs="Calibri"/>
          <w:sz w:val="22"/>
          <w:szCs w:val="22"/>
        </w:rPr>
        <w:t xml:space="preserve"> Rome, Italy</w:t>
      </w:r>
    </w:p>
    <w:p w14:paraId="4C6670F5" w14:textId="2C1DE49A" w:rsidR="00CD652B"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7</w:t>
      </w:r>
      <w:r w:rsidR="004B2616" w:rsidRPr="009B0F6E">
        <w:rPr>
          <w:rFonts w:ascii="Calibri" w:hAnsi="Calibri" w:cs="Calibri"/>
          <w:sz w:val="22"/>
          <w:szCs w:val="22"/>
        </w:rPr>
        <w:t>Interventional Electrophysiology, Scripps Clinic, San Diego, C</w:t>
      </w:r>
      <w:r w:rsidR="005F74CB" w:rsidRPr="001E0E29">
        <w:rPr>
          <w:rFonts w:ascii="Calibri" w:hAnsi="Calibri" w:cs="Calibri"/>
          <w:sz w:val="22"/>
          <w:szCs w:val="22"/>
        </w:rPr>
        <w:t>A</w:t>
      </w:r>
      <w:r w:rsidR="004B2616" w:rsidRPr="009B0F6E">
        <w:rPr>
          <w:rFonts w:ascii="Calibri" w:hAnsi="Calibri" w:cs="Calibri"/>
          <w:sz w:val="22"/>
          <w:szCs w:val="22"/>
        </w:rPr>
        <w:t>, USA</w:t>
      </w:r>
    </w:p>
    <w:p w14:paraId="51E8275D" w14:textId="11D7C336" w:rsidR="00BB584A" w:rsidRPr="009B0F6E" w:rsidRDefault="00AB0B9D" w:rsidP="001E0E29">
      <w:pPr>
        <w:widowControl w:val="0"/>
        <w:contextualSpacing/>
        <w:rPr>
          <w:rFonts w:ascii="Calibri" w:hAnsi="Calibri" w:cs="Calibri"/>
          <w:sz w:val="22"/>
          <w:szCs w:val="22"/>
        </w:rPr>
      </w:pPr>
      <w:r w:rsidRPr="001E0E29">
        <w:rPr>
          <w:rFonts w:ascii="Calibri" w:hAnsi="Calibri" w:cs="Calibri"/>
          <w:sz w:val="22"/>
          <w:szCs w:val="22"/>
          <w:vertAlign w:val="superscript"/>
        </w:rPr>
        <w:t>8</w:t>
      </w:r>
      <w:r w:rsidR="004B2616" w:rsidRPr="009B0F6E">
        <w:rPr>
          <w:rFonts w:ascii="Calibri" w:hAnsi="Calibri" w:cs="Calibri"/>
          <w:sz w:val="22"/>
          <w:szCs w:val="22"/>
        </w:rPr>
        <w:t>Metro Health Medical Center, Case Western Reserve University School of Medicine, Cleveland, O</w:t>
      </w:r>
      <w:r w:rsidR="00D646AA" w:rsidRPr="001E0E29">
        <w:rPr>
          <w:rFonts w:ascii="Calibri" w:hAnsi="Calibri" w:cs="Calibri"/>
          <w:sz w:val="22"/>
          <w:szCs w:val="22"/>
        </w:rPr>
        <w:t>H</w:t>
      </w:r>
      <w:r w:rsidR="004B2616" w:rsidRPr="009B0F6E">
        <w:rPr>
          <w:rFonts w:ascii="Calibri" w:hAnsi="Calibri" w:cs="Calibri"/>
          <w:sz w:val="22"/>
          <w:szCs w:val="22"/>
        </w:rPr>
        <w:t>, USA</w:t>
      </w:r>
    </w:p>
    <w:p w14:paraId="37E07F36" w14:textId="1D68AB3D" w:rsidR="004B2616" w:rsidRPr="009B0F6E" w:rsidRDefault="004B2616" w:rsidP="001E0E29">
      <w:pPr>
        <w:widowControl w:val="0"/>
        <w:contextualSpacing/>
        <w:rPr>
          <w:rFonts w:ascii="Calibri" w:hAnsi="Calibri" w:cs="Calibri"/>
          <w:sz w:val="22"/>
          <w:szCs w:val="22"/>
        </w:rPr>
      </w:pPr>
    </w:p>
    <w:p w14:paraId="5EE05F41" w14:textId="77777777" w:rsidR="00BB584A" w:rsidRPr="009B0F6E" w:rsidRDefault="00BB584A" w:rsidP="00BB584A">
      <w:pPr>
        <w:rPr>
          <w:rFonts w:ascii="Calibri" w:hAnsi="Calibri" w:cs="Calibri"/>
          <w:sz w:val="22"/>
          <w:szCs w:val="22"/>
        </w:rPr>
      </w:pPr>
      <w:r w:rsidRPr="009B0F6E">
        <w:rPr>
          <w:rFonts w:ascii="Calibri" w:hAnsi="Calibri" w:cs="Calibri"/>
          <w:sz w:val="22"/>
          <w:szCs w:val="22"/>
        </w:rPr>
        <w:t>Manuscript received XXX. Final version accepted XXX.</w:t>
      </w:r>
    </w:p>
    <w:p w14:paraId="60B3198D" w14:textId="77777777" w:rsidR="00BB584A" w:rsidRPr="009B0F6E" w:rsidRDefault="00BB584A" w:rsidP="00BB584A">
      <w:pPr>
        <w:rPr>
          <w:rFonts w:ascii="Calibri" w:hAnsi="Calibri" w:cs="Calibri"/>
          <w:sz w:val="22"/>
          <w:szCs w:val="22"/>
        </w:rPr>
      </w:pPr>
    </w:p>
    <w:p w14:paraId="24E7D3F6" w14:textId="74AF7B6B" w:rsidR="004B2616" w:rsidRPr="009B0F6E" w:rsidRDefault="00BB584A" w:rsidP="003A7AD9">
      <w:pPr>
        <w:widowControl w:val="0"/>
        <w:rPr>
          <w:rFonts w:ascii="Calibri" w:hAnsi="Calibri" w:cs="Calibri"/>
          <w:sz w:val="22"/>
          <w:szCs w:val="22"/>
        </w:rPr>
      </w:pPr>
      <w:r w:rsidRPr="001E0E29">
        <w:rPr>
          <w:rStyle w:val="Strong"/>
          <w:rFonts w:ascii="Calibri" w:eastAsiaTheme="majorEastAsia" w:hAnsi="Calibri" w:cs="Calibri"/>
          <w:b w:val="0"/>
          <w:sz w:val="22"/>
          <w:szCs w:val="22"/>
        </w:rPr>
        <w:t xml:space="preserve">Address </w:t>
      </w:r>
      <w:r w:rsidRPr="009B0F6E">
        <w:rPr>
          <w:rFonts w:ascii="Calibri" w:hAnsi="Calibri" w:cs="Calibri"/>
          <w:sz w:val="22"/>
          <w:szCs w:val="22"/>
        </w:rPr>
        <w:t xml:space="preserve">correspondence to: </w:t>
      </w:r>
      <w:r w:rsidR="004B2616" w:rsidRPr="009B0F6E">
        <w:rPr>
          <w:rFonts w:ascii="Calibri" w:hAnsi="Calibri" w:cs="Calibri"/>
          <w:sz w:val="22"/>
          <w:szCs w:val="22"/>
          <w:lang w:eastAsia="it-IT"/>
        </w:rPr>
        <w:t xml:space="preserve">Elio Zito, MD, </w:t>
      </w:r>
      <w:r w:rsidR="004B2616" w:rsidRPr="009B0F6E">
        <w:rPr>
          <w:rFonts w:ascii="Calibri" w:hAnsi="Calibri" w:cs="Calibri"/>
          <w:sz w:val="22"/>
          <w:szCs w:val="22"/>
        </w:rPr>
        <w:t>University of Milan</w:t>
      </w:r>
      <w:r w:rsidR="007D1936" w:rsidRPr="009B0F6E">
        <w:rPr>
          <w:rFonts w:ascii="Calibri" w:hAnsi="Calibri" w:cs="Calibri"/>
          <w:sz w:val="22"/>
          <w:szCs w:val="22"/>
        </w:rPr>
        <w:t>,</w:t>
      </w:r>
      <w:r w:rsidR="004B2616" w:rsidRPr="009B0F6E">
        <w:rPr>
          <w:rFonts w:ascii="Calibri" w:hAnsi="Calibri" w:cs="Calibri"/>
          <w:sz w:val="22"/>
          <w:szCs w:val="22"/>
        </w:rPr>
        <w:t xml:space="preserve"> Via Festa del Perdono, 7, 20122, Milan, Italy; Texas Cardiac Arrhythmia Institute, St. Davids Medical Center, 3000 N Interstate 35, Suite 700, 78705, Austin, TX, USA</w:t>
      </w:r>
      <w:r w:rsidR="007D1936" w:rsidRPr="009B0F6E">
        <w:rPr>
          <w:rFonts w:ascii="Calibri" w:hAnsi="Calibri" w:cs="Calibri"/>
          <w:sz w:val="22"/>
          <w:szCs w:val="22"/>
        </w:rPr>
        <w:t xml:space="preserve">, Tel: +393890970971, </w:t>
      </w:r>
      <w:r w:rsidR="004B2616" w:rsidRPr="009B0F6E">
        <w:rPr>
          <w:rFonts w:ascii="Calibri" w:hAnsi="Calibri" w:cs="Calibri"/>
          <w:sz w:val="22"/>
          <w:szCs w:val="22"/>
        </w:rPr>
        <w:t xml:space="preserve">Email: </w:t>
      </w:r>
      <w:hyperlink r:id="rId7" w:history="1">
        <w:r w:rsidR="007D1936" w:rsidRPr="001E0E29">
          <w:rPr>
            <w:rStyle w:val="Hyperlink"/>
          </w:rPr>
          <w:t>zitoelio95@gmail.com</w:t>
        </w:r>
      </w:hyperlink>
      <w:r w:rsidR="007D1936" w:rsidRPr="009B0F6E">
        <w:rPr>
          <w:rFonts w:ascii="Calibri" w:hAnsi="Calibri" w:cs="Calibri"/>
          <w:sz w:val="22"/>
          <w:szCs w:val="22"/>
        </w:rPr>
        <w:t>.</w:t>
      </w:r>
    </w:p>
    <w:p w14:paraId="00569D88" w14:textId="77777777" w:rsidR="004B2616" w:rsidRPr="009B0F6E" w:rsidRDefault="004B2616" w:rsidP="003A7AD9">
      <w:pPr>
        <w:widowControl w:val="0"/>
        <w:rPr>
          <w:rFonts w:ascii="Calibri" w:hAnsi="Calibri" w:cs="Calibri"/>
          <w:b/>
          <w:bCs/>
          <w:sz w:val="22"/>
          <w:szCs w:val="22"/>
          <w:lang w:eastAsia="it-IT"/>
        </w:rPr>
      </w:pPr>
    </w:p>
    <w:p w14:paraId="30483671" w14:textId="6E5CDD75" w:rsidR="00DD3127" w:rsidRPr="009B0F6E" w:rsidRDefault="00FB1921" w:rsidP="003A7AD9">
      <w:pPr>
        <w:widowControl w:val="0"/>
        <w:rPr>
          <w:rFonts w:ascii="Calibri" w:hAnsi="Calibri" w:cs="Calibri"/>
          <w:b/>
          <w:bCs/>
          <w:sz w:val="22"/>
          <w:szCs w:val="22"/>
        </w:rPr>
      </w:pPr>
      <w:r w:rsidRPr="009B0F6E">
        <w:rPr>
          <w:rFonts w:ascii="Calibri" w:hAnsi="Calibri" w:cs="Calibri"/>
          <w:b/>
          <w:bCs/>
          <w:sz w:val="22"/>
          <w:szCs w:val="22"/>
        </w:rPr>
        <w:t>ABSTRACT</w:t>
      </w:r>
    </w:p>
    <w:p w14:paraId="30483672" w14:textId="77777777" w:rsidR="00DD3127" w:rsidRPr="009B0F6E" w:rsidRDefault="00C1376C" w:rsidP="003A7AD9">
      <w:pPr>
        <w:pStyle w:val="NormalWeb"/>
        <w:widowControl w:val="0"/>
        <w:jc w:val="both"/>
        <w:rPr>
          <w:rFonts w:ascii="Calibri" w:hAnsi="Calibri" w:cs="Calibri"/>
          <w:sz w:val="22"/>
          <w:szCs w:val="22"/>
          <w:lang w:val="en-US"/>
        </w:rPr>
      </w:pPr>
      <w:r w:rsidRPr="009B0F6E">
        <w:rPr>
          <w:rFonts w:ascii="Calibri" w:hAnsi="Calibri" w:cs="Calibri"/>
          <w:sz w:val="22"/>
          <w:szCs w:val="22"/>
          <w:lang w:val="en-US"/>
        </w:rPr>
        <w:t>Left atrial appendage closure (LAAC) has emerged as an important alternative strategy for stroke prevention in patients with non-valvular atrial fibrillation (NVAF), particularly when long-term oral anticoagulation (OAC) is contraindicated or poorly tolerated. Initially developed as a surgical technique based on ligation or excision of the left atrial appendage, LAAC has progressively shifted toward refined, minimally invasive transcatheter approaches. Randomized and observational data have established non-inferiority to warfarin, while non-inferiority compared with direct oral anticoagulants (DOACs) is suggested in selected high-risk cohorts and is currently under prospective evaluation in pivotal trials. At the same time, indications for LAAC are expanding beyond the classical high bleeding risk population, now encompassing patients undergoing atrial fibrillation ablation and those with only moderate thromboembolic risk but intolerance to OAC.</w:t>
      </w:r>
    </w:p>
    <w:p w14:paraId="42D1AE45" w14:textId="77777777" w:rsidR="00E642A7" w:rsidRPr="009B0F6E" w:rsidRDefault="00E642A7" w:rsidP="003A7AD9">
      <w:pPr>
        <w:pStyle w:val="NormalWeb"/>
        <w:widowControl w:val="0"/>
        <w:jc w:val="both"/>
        <w:rPr>
          <w:rFonts w:ascii="Calibri" w:hAnsi="Calibri" w:cs="Calibri"/>
          <w:sz w:val="22"/>
          <w:szCs w:val="22"/>
          <w:lang w:val="en-US"/>
        </w:rPr>
      </w:pPr>
    </w:p>
    <w:p w14:paraId="30483673" w14:textId="13F24DB0" w:rsidR="00DD3127" w:rsidRPr="009B0F6E" w:rsidRDefault="00C1376C" w:rsidP="003A7AD9">
      <w:pPr>
        <w:pStyle w:val="NormalWeb"/>
        <w:widowControl w:val="0"/>
        <w:jc w:val="both"/>
        <w:rPr>
          <w:rFonts w:ascii="Calibri" w:hAnsi="Calibri" w:cs="Calibri"/>
          <w:sz w:val="22"/>
          <w:szCs w:val="22"/>
          <w:lang w:val="en-US"/>
        </w:rPr>
      </w:pPr>
      <w:r w:rsidRPr="009B0F6E">
        <w:rPr>
          <w:rFonts w:ascii="Calibri" w:hAnsi="Calibri" w:cs="Calibri"/>
          <w:sz w:val="22"/>
          <w:szCs w:val="22"/>
          <w:lang w:val="en-US"/>
        </w:rPr>
        <w:t xml:space="preserve">Parallel advances in device design aimed at improving anatomical conformability, sealing performance, and surface biocompatibility seek to reduce peri-device leak (PDL), device-related thrombus (DRT), and bleeding, and may allow for simplified or shortened post-procedural antithrombotic regimens. This narrative review summarizes the historical evolution of LAAC from surgical to contemporary transcatheter solutions, outlines key clinical evidence versus medical therapy, and discusses emerging implant-based and implant-free technologies. As evidence accumulates from ongoing randomized controlled trials, LAAC may transition from a niche intervention to a more widely adopted, guideline-supported component of atrial fibrillation management. However, broader implementation will depend on robust demonstration of long-term safety and efficacy, including clarification of PDL-, DRT-, and bleeding-related trade-offs, to define when LAAC can serve not only as an alternative to OAC but as a tailored option for selected NVAF </w:t>
      </w:r>
      <w:r w:rsidRPr="009B0F6E">
        <w:rPr>
          <w:rFonts w:ascii="Calibri" w:hAnsi="Calibri" w:cs="Calibri"/>
          <w:sz w:val="22"/>
          <w:szCs w:val="22"/>
          <w:lang w:val="en-US"/>
        </w:rPr>
        <w:lastRenderedPageBreak/>
        <w:t>patients.</w:t>
      </w:r>
    </w:p>
    <w:p w14:paraId="519B0632" w14:textId="77777777" w:rsidR="004B2616" w:rsidRPr="009B0F6E" w:rsidRDefault="004B2616" w:rsidP="003A7AD9">
      <w:pPr>
        <w:pStyle w:val="NormalWeb"/>
        <w:widowControl w:val="0"/>
        <w:jc w:val="both"/>
        <w:rPr>
          <w:rFonts w:ascii="Calibri" w:hAnsi="Calibri" w:cs="Calibri"/>
          <w:sz w:val="22"/>
          <w:szCs w:val="22"/>
          <w:lang w:val="en-US"/>
        </w:rPr>
      </w:pPr>
    </w:p>
    <w:p w14:paraId="50CD8816" w14:textId="69A3D624" w:rsidR="00EF08F2" w:rsidRPr="009B0F6E" w:rsidRDefault="00240440" w:rsidP="003A7AD9">
      <w:pPr>
        <w:widowControl w:val="0"/>
        <w:rPr>
          <w:rFonts w:ascii="Calibri" w:hAnsi="Calibri" w:cs="Calibri"/>
          <w:b/>
          <w:bCs/>
          <w:sz w:val="22"/>
          <w:szCs w:val="22"/>
        </w:rPr>
      </w:pPr>
      <w:r w:rsidRPr="009B0F6E">
        <w:rPr>
          <w:rFonts w:ascii="Calibri" w:hAnsi="Calibri" w:cs="Calibri"/>
          <w:b/>
          <w:bCs/>
          <w:sz w:val="22"/>
          <w:szCs w:val="22"/>
        </w:rPr>
        <w:t>KEYWORDS</w:t>
      </w:r>
    </w:p>
    <w:p w14:paraId="189E643D" w14:textId="4A356B70" w:rsidR="00EF08F2" w:rsidRPr="009B0F6E" w:rsidRDefault="00EF08F2" w:rsidP="003A7AD9">
      <w:pPr>
        <w:widowControl w:val="0"/>
        <w:rPr>
          <w:rFonts w:ascii="Calibri" w:hAnsi="Calibri" w:cs="Calibri"/>
          <w:sz w:val="22"/>
          <w:szCs w:val="22"/>
          <w:lang w:eastAsia="it-IT"/>
        </w:rPr>
      </w:pPr>
      <w:r w:rsidRPr="009B0F6E">
        <w:rPr>
          <w:rFonts w:ascii="Calibri" w:hAnsi="Calibri" w:cs="Calibri"/>
          <w:sz w:val="22"/>
          <w:szCs w:val="22"/>
          <w:lang w:eastAsia="it-IT"/>
        </w:rPr>
        <w:t>Bleeding risk</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d</w:t>
      </w:r>
      <w:r w:rsidRPr="009B0F6E">
        <w:rPr>
          <w:rFonts w:ascii="Calibri" w:hAnsi="Calibri" w:cs="Calibri"/>
          <w:sz w:val="22"/>
          <w:szCs w:val="22"/>
          <w:lang w:eastAsia="it-IT"/>
        </w:rPr>
        <w:t>evice-related thrombus (DRT)</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l</w:t>
      </w:r>
      <w:r w:rsidRPr="009B0F6E">
        <w:rPr>
          <w:rFonts w:ascii="Calibri" w:hAnsi="Calibri" w:cs="Calibri"/>
          <w:sz w:val="22"/>
          <w:szCs w:val="22"/>
          <w:lang w:eastAsia="it-IT"/>
        </w:rPr>
        <w:t>eft atrial appendage closure (LAAC)</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n</w:t>
      </w:r>
      <w:r w:rsidRPr="009B0F6E">
        <w:rPr>
          <w:rFonts w:ascii="Calibri" w:hAnsi="Calibri" w:cs="Calibri"/>
          <w:sz w:val="22"/>
          <w:szCs w:val="22"/>
          <w:lang w:eastAsia="it-IT"/>
        </w:rPr>
        <w:t>on-valvular atrial fibrillation (NVAF)</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o</w:t>
      </w:r>
      <w:r w:rsidRPr="009B0F6E">
        <w:rPr>
          <w:rFonts w:ascii="Calibri" w:hAnsi="Calibri" w:cs="Calibri"/>
          <w:sz w:val="22"/>
          <w:szCs w:val="22"/>
          <w:lang w:eastAsia="it-IT"/>
        </w:rPr>
        <w:t>ral anticoagulation (OAC)</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p</w:t>
      </w:r>
      <w:r w:rsidRPr="009B0F6E">
        <w:rPr>
          <w:rFonts w:ascii="Calibri" w:hAnsi="Calibri" w:cs="Calibri"/>
          <w:sz w:val="22"/>
          <w:szCs w:val="22"/>
          <w:lang w:eastAsia="it-IT"/>
        </w:rPr>
        <w:t>eridevice leak (PDL)</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s</w:t>
      </w:r>
      <w:r w:rsidRPr="009B0F6E">
        <w:rPr>
          <w:rFonts w:ascii="Calibri" w:hAnsi="Calibri" w:cs="Calibri"/>
          <w:sz w:val="22"/>
          <w:szCs w:val="22"/>
          <w:lang w:eastAsia="it-IT"/>
        </w:rPr>
        <w:t>troke prevention</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t</w:t>
      </w:r>
      <w:r w:rsidRPr="009B0F6E">
        <w:rPr>
          <w:rFonts w:ascii="Calibri" w:hAnsi="Calibri" w:cs="Calibri"/>
          <w:sz w:val="22"/>
          <w:szCs w:val="22"/>
          <w:lang w:eastAsia="it-IT"/>
        </w:rPr>
        <w:t>hromboembolic risk</w:t>
      </w:r>
      <w:r w:rsidR="00240440" w:rsidRPr="009B0F6E">
        <w:rPr>
          <w:rFonts w:ascii="Calibri" w:hAnsi="Calibri" w:cs="Calibri"/>
          <w:sz w:val="22"/>
          <w:szCs w:val="22"/>
          <w:lang w:eastAsia="it-IT"/>
        </w:rPr>
        <w:t>,</w:t>
      </w:r>
      <w:r w:rsidR="001D7853" w:rsidRPr="009B0F6E">
        <w:rPr>
          <w:rFonts w:ascii="Calibri" w:hAnsi="Calibri" w:cs="Calibri"/>
          <w:sz w:val="22"/>
          <w:szCs w:val="22"/>
          <w:lang w:eastAsia="it-IT"/>
        </w:rPr>
        <w:t xml:space="preserve"> </w:t>
      </w:r>
      <w:r w:rsidR="00996D05" w:rsidRPr="009B0F6E">
        <w:rPr>
          <w:rFonts w:ascii="Calibri" w:hAnsi="Calibri" w:cs="Calibri"/>
          <w:sz w:val="22"/>
          <w:szCs w:val="22"/>
          <w:lang w:eastAsia="it-IT"/>
        </w:rPr>
        <w:t>t</w:t>
      </w:r>
      <w:r w:rsidRPr="009B0F6E">
        <w:rPr>
          <w:rFonts w:ascii="Calibri" w:hAnsi="Calibri" w:cs="Calibri"/>
          <w:sz w:val="22"/>
          <w:szCs w:val="22"/>
          <w:lang w:eastAsia="it-IT"/>
        </w:rPr>
        <w:t>ranscatheter occlusion</w:t>
      </w:r>
      <w:r w:rsidR="00240440" w:rsidRPr="009B0F6E">
        <w:rPr>
          <w:rFonts w:ascii="Calibri" w:hAnsi="Calibri" w:cs="Calibri"/>
          <w:sz w:val="22"/>
          <w:szCs w:val="22"/>
          <w:lang w:eastAsia="it-IT"/>
        </w:rPr>
        <w:t>.</w:t>
      </w:r>
    </w:p>
    <w:p w14:paraId="77D1AE6E" w14:textId="77777777" w:rsidR="00EF08F2" w:rsidRPr="009B0F6E" w:rsidRDefault="00EF08F2" w:rsidP="003A7AD9">
      <w:pPr>
        <w:widowControl w:val="0"/>
        <w:rPr>
          <w:rFonts w:ascii="Calibri" w:hAnsi="Calibri" w:cs="Calibri"/>
          <w:b/>
          <w:bCs/>
          <w:sz w:val="22"/>
          <w:szCs w:val="22"/>
        </w:rPr>
      </w:pPr>
    </w:p>
    <w:p w14:paraId="571247C5" w14:textId="6608D0E2" w:rsidR="00A03C92" w:rsidRPr="009B0F6E" w:rsidRDefault="00A03C92" w:rsidP="001E0E29">
      <w:pPr>
        <w:widowControl w:val="0"/>
        <w:rPr>
          <w:rFonts w:ascii="Calibri" w:hAnsi="Calibri" w:cs="Calibri"/>
          <w:sz w:val="22"/>
          <w:szCs w:val="22"/>
          <w:shd w:val="clear" w:color="auto" w:fill="FEFB00"/>
        </w:rPr>
      </w:pPr>
      <w:r w:rsidRPr="009B0F6E">
        <w:rPr>
          <w:rFonts w:ascii="Calibri" w:hAnsi="Calibri" w:cs="Calibri"/>
          <w:b/>
          <w:bCs/>
          <w:sz w:val="22"/>
          <w:szCs w:val="22"/>
        </w:rPr>
        <w:t>Conflict of interest</w:t>
      </w:r>
    </w:p>
    <w:p w14:paraId="73583AF6" w14:textId="7B425606" w:rsidR="00A03C92" w:rsidRPr="009B0F6E" w:rsidRDefault="00A03C92" w:rsidP="00A03C92">
      <w:pPr>
        <w:widowControl w:val="0"/>
        <w:jc w:val="both"/>
        <w:rPr>
          <w:rFonts w:ascii="Calibri" w:hAnsi="Calibri" w:cs="Calibri"/>
          <w:sz w:val="22"/>
          <w:szCs w:val="22"/>
          <w:lang w:eastAsia="it-IT"/>
        </w:rPr>
      </w:pPr>
      <w:r w:rsidRPr="009B0F6E">
        <w:rPr>
          <w:rFonts w:ascii="Calibri" w:hAnsi="Calibri" w:cs="Calibri"/>
          <w:sz w:val="22"/>
          <w:szCs w:val="22"/>
          <w:lang w:eastAsia="it-IT"/>
        </w:rPr>
        <w:t>Dr. Natale is a consultant for Abbott, Biosense Webster, Biotronik, Boston Scientific, Medtronic and iRhthym.</w:t>
      </w:r>
    </w:p>
    <w:p w14:paraId="1ADAECE0" w14:textId="77777777" w:rsidR="00A03C92" w:rsidRPr="009B0F6E" w:rsidRDefault="00A03C92" w:rsidP="00A03C92">
      <w:pPr>
        <w:widowControl w:val="0"/>
        <w:jc w:val="both"/>
        <w:rPr>
          <w:rFonts w:ascii="Calibri" w:hAnsi="Calibri" w:cs="Calibri"/>
          <w:sz w:val="22"/>
          <w:szCs w:val="22"/>
          <w:lang w:eastAsia="it-IT"/>
        </w:rPr>
      </w:pPr>
    </w:p>
    <w:p w14:paraId="5BBE0A71" w14:textId="77777777" w:rsidR="00A03C92" w:rsidRPr="009B0F6E" w:rsidRDefault="00A03C92" w:rsidP="00A03C92">
      <w:pPr>
        <w:widowControl w:val="0"/>
        <w:jc w:val="both"/>
        <w:rPr>
          <w:rFonts w:ascii="Calibri" w:hAnsi="Calibri" w:cs="Calibri"/>
          <w:sz w:val="22"/>
          <w:szCs w:val="22"/>
          <w:lang w:eastAsia="it-IT"/>
        </w:rPr>
      </w:pPr>
      <w:r w:rsidRPr="009B0F6E">
        <w:rPr>
          <w:rFonts w:ascii="Calibri" w:hAnsi="Calibri" w:cs="Calibri"/>
          <w:sz w:val="22"/>
          <w:szCs w:val="22"/>
          <w:lang w:eastAsia="it-IT"/>
        </w:rPr>
        <w:t>All other authors have reported that they have no relationships relevant to the contents of this paper to disclose.</w:t>
      </w:r>
    </w:p>
    <w:p w14:paraId="24A36C51" w14:textId="77777777" w:rsidR="00A03C92" w:rsidRPr="009B0F6E" w:rsidRDefault="00A03C92" w:rsidP="00A03C92">
      <w:pPr>
        <w:widowControl w:val="0"/>
        <w:jc w:val="both"/>
        <w:rPr>
          <w:rFonts w:ascii="Calibri" w:hAnsi="Calibri" w:cs="Calibri"/>
          <w:sz w:val="22"/>
          <w:szCs w:val="22"/>
          <w:shd w:val="clear" w:color="auto" w:fill="FEFB00"/>
        </w:rPr>
      </w:pPr>
    </w:p>
    <w:p w14:paraId="78453547" w14:textId="3AEB21E9" w:rsidR="00CC1BBF" w:rsidRPr="009B0F6E" w:rsidRDefault="00A03C92" w:rsidP="00A03C92">
      <w:pPr>
        <w:widowControl w:val="0"/>
        <w:rPr>
          <w:rFonts w:ascii="Calibri" w:hAnsi="Calibri" w:cs="Calibri"/>
          <w:b/>
          <w:bCs/>
          <w:sz w:val="22"/>
          <w:szCs w:val="22"/>
        </w:rPr>
      </w:pPr>
      <w:r w:rsidRPr="009B0F6E">
        <w:rPr>
          <w:rFonts w:ascii="Calibri" w:hAnsi="Calibri" w:cs="Calibri"/>
          <w:b/>
          <w:bCs/>
          <w:sz w:val="22"/>
          <w:szCs w:val="22"/>
        </w:rPr>
        <w:t>Acknowledgements</w:t>
      </w:r>
    </w:p>
    <w:p w14:paraId="2C7F1C0B" w14:textId="6980B9B0" w:rsidR="00A03C92" w:rsidRPr="009B0F6E" w:rsidRDefault="00CC1BBF" w:rsidP="00A03C92">
      <w:pPr>
        <w:widowControl w:val="0"/>
        <w:rPr>
          <w:rFonts w:ascii="Calibri" w:hAnsi="Calibri" w:cs="Calibri"/>
          <w:sz w:val="22"/>
          <w:szCs w:val="22"/>
        </w:rPr>
      </w:pPr>
      <w:r w:rsidRPr="009B0F6E">
        <w:rPr>
          <w:rFonts w:ascii="Calibri" w:hAnsi="Calibri" w:cs="Calibri"/>
          <w:sz w:val="22"/>
          <w:szCs w:val="22"/>
        </w:rPr>
        <w:t>N</w:t>
      </w:r>
      <w:r w:rsidR="00A03C92" w:rsidRPr="009B0F6E">
        <w:rPr>
          <w:rFonts w:ascii="Calibri" w:hAnsi="Calibri" w:cs="Calibri"/>
          <w:sz w:val="22"/>
          <w:szCs w:val="22"/>
        </w:rPr>
        <w:t>one</w:t>
      </w:r>
      <w:r w:rsidRPr="009B0F6E">
        <w:rPr>
          <w:rFonts w:ascii="Calibri" w:hAnsi="Calibri" w:cs="Calibri"/>
          <w:sz w:val="22"/>
          <w:szCs w:val="22"/>
        </w:rPr>
        <w:t>.</w:t>
      </w:r>
    </w:p>
    <w:p w14:paraId="43497AEA" w14:textId="77777777" w:rsidR="004B2616" w:rsidRPr="009B0F6E" w:rsidRDefault="004B2616" w:rsidP="003A7AD9">
      <w:pPr>
        <w:pStyle w:val="NormalWeb"/>
        <w:widowControl w:val="0"/>
        <w:jc w:val="both"/>
        <w:rPr>
          <w:rFonts w:ascii="Calibri" w:hAnsi="Calibri" w:cs="Calibri"/>
          <w:sz w:val="22"/>
          <w:szCs w:val="22"/>
          <w:lang w:val="en-US"/>
        </w:rPr>
      </w:pPr>
    </w:p>
    <w:p w14:paraId="30483674" w14:textId="77777777" w:rsidR="00DD3127" w:rsidRPr="009B0F6E" w:rsidRDefault="00C1376C" w:rsidP="003A7AD9">
      <w:pPr>
        <w:widowControl w:val="0"/>
        <w:rPr>
          <w:rFonts w:ascii="Calibri" w:hAnsi="Calibri" w:cs="Calibri"/>
          <w:b/>
          <w:bCs/>
          <w:sz w:val="22"/>
          <w:szCs w:val="22"/>
        </w:rPr>
      </w:pPr>
      <w:r w:rsidRPr="009B0F6E">
        <w:rPr>
          <w:rFonts w:ascii="Calibri" w:hAnsi="Calibri" w:cs="Calibri"/>
          <w:b/>
          <w:bCs/>
          <w:sz w:val="22"/>
          <w:szCs w:val="22"/>
        </w:rPr>
        <w:t>Introduction</w:t>
      </w:r>
    </w:p>
    <w:p w14:paraId="30483676" w14:textId="0A60912C"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Atrial fibrillation (AF), the most common cardiac arrhythmia worldwide, and is associated with a fivefold increased risk of ischemic stroke.</w:t>
      </w:r>
      <w:r w:rsidRPr="009B0F6E">
        <w:rPr>
          <w:rFonts w:ascii="Calibri" w:hAnsi="Calibri" w:cs="Calibri"/>
          <w:sz w:val="22"/>
          <w:szCs w:val="22"/>
          <w:vertAlign w:val="superscript"/>
        </w:rPr>
        <w:t>1</w:t>
      </w:r>
      <w:r w:rsidRPr="009B0F6E">
        <w:rPr>
          <w:rFonts w:ascii="Calibri" w:hAnsi="Calibri" w:cs="Calibri"/>
          <w:sz w:val="22"/>
          <w:szCs w:val="22"/>
        </w:rPr>
        <w:t xml:space="preserve"> In patients with non-valvular AF (NVAF), the left atrial appendage (LAA) is the primary site of thrombus formation, accounting for over 90% of cardiac emboli.</w:t>
      </w:r>
      <w:r w:rsidRPr="009B0F6E">
        <w:rPr>
          <w:rFonts w:ascii="Calibri" w:hAnsi="Calibri" w:cs="Calibri"/>
          <w:sz w:val="22"/>
          <w:szCs w:val="22"/>
          <w:vertAlign w:val="superscript"/>
        </w:rPr>
        <w:t>2</w:t>
      </w:r>
      <w:r w:rsidRPr="009B0F6E">
        <w:rPr>
          <w:rFonts w:ascii="Calibri" w:hAnsi="Calibri" w:cs="Calibri"/>
          <w:sz w:val="22"/>
          <w:szCs w:val="22"/>
        </w:rPr>
        <w:t xml:space="preserve"> Traditionally, long-term oral anticoagulation (OAC) has represented the cornerstone of stroke prevention therapy in this population.</w:t>
      </w:r>
      <w:r w:rsidRPr="009B0F6E">
        <w:rPr>
          <w:rFonts w:ascii="Calibri" w:hAnsi="Calibri" w:cs="Calibri"/>
          <w:sz w:val="22"/>
          <w:szCs w:val="22"/>
          <w:vertAlign w:val="superscript"/>
        </w:rPr>
        <w:t>3,4</w:t>
      </w:r>
      <w:r w:rsidRPr="009B0F6E">
        <w:rPr>
          <w:rFonts w:ascii="Calibri" w:hAnsi="Calibri" w:cs="Calibri"/>
          <w:sz w:val="22"/>
          <w:szCs w:val="22"/>
        </w:rPr>
        <w:t xml:space="preserve"> However, a significant proportion of patients either have contraindications to anticoagulation, such as previous major bleeding or high hemorrhagic risk, or experience complications that limit its long-term use. In response to these limitations, mechanical exclusion of the LAA has emerged as an attractive alternate strategy to reduce risk of stroke.</w:t>
      </w:r>
      <w:r w:rsidRPr="009B0F6E">
        <w:rPr>
          <w:rFonts w:ascii="Calibri" w:hAnsi="Calibri" w:cs="Calibri"/>
          <w:sz w:val="22"/>
          <w:szCs w:val="22"/>
          <w:vertAlign w:val="superscript"/>
        </w:rPr>
        <w:t>3–5</w:t>
      </w:r>
      <w:r w:rsidRPr="009B0F6E">
        <w:rPr>
          <w:rFonts w:ascii="Calibri" w:hAnsi="Calibri" w:cs="Calibri"/>
          <w:sz w:val="22"/>
          <w:szCs w:val="22"/>
        </w:rPr>
        <w:t xml:space="preserve"> Over the decades, techniques have evolved from empirical surgical ligation to percutaneous, catheter-based LAA closure (LAAC), allowing for minimally invasive occlusion in patients who may not otherwise tolerate surgery or OAC. This paradigm shift has been supported by a growing body of evidence from randomized controlled trials (RCTs), registry data, and long-term observational studies, many of which have demonstrated non-inferiority to warfarin, and favorable safety profiles </w:t>
      </w:r>
      <w:r w:rsidRPr="001E0E29">
        <w:rPr>
          <w:rFonts w:ascii="Calibri" w:hAnsi="Calibri" w:cs="Calibri"/>
          <w:b/>
          <w:sz w:val="22"/>
          <w:szCs w:val="22"/>
        </w:rPr>
        <w:t>(</w:t>
      </w:r>
      <w:r w:rsidRPr="009B0F6E">
        <w:rPr>
          <w:rFonts w:ascii="Calibri" w:hAnsi="Calibri" w:cs="Calibri"/>
          <w:b/>
          <w:bCs/>
          <w:sz w:val="22"/>
          <w:szCs w:val="22"/>
        </w:rPr>
        <w:t>Table</w:t>
      </w:r>
      <w:r w:rsidR="00D60D9A" w:rsidRPr="009B0F6E">
        <w:rPr>
          <w:rFonts w:ascii="Calibri" w:hAnsi="Calibri" w:cs="Calibri"/>
          <w:b/>
          <w:bCs/>
          <w:sz w:val="22"/>
          <w:szCs w:val="22"/>
        </w:rPr>
        <w:t>s</w:t>
      </w:r>
      <w:r w:rsidRPr="009B0F6E">
        <w:rPr>
          <w:rFonts w:ascii="Calibri" w:hAnsi="Calibri" w:cs="Calibri"/>
          <w:b/>
          <w:bCs/>
          <w:sz w:val="22"/>
          <w:szCs w:val="22"/>
        </w:rPr>
        <w:t xml:space="preserve"> 1 </w:t>
      </w:r>
      <w:r w:rsidRPr="001E0E29">
        <w:rPr>
          <w:rFonts w:ascii="Calibri" w:hAnsi="Calibri" w:cs="Calibri"/>
          <w:b/>
          <w:sz w:val="22"/>
          <w:szCs w:val="22"/>
        </w:rPr>
        <w:t xml:space="preserve">and </w:t>
      </w:r>
      <w:r w:rsidRPr="009B0F6E">
        <w:rPr>
          <w:rFonts w:ascii="Calibri" w:hAnsi="Calibri" w:cs="Calibri"/>
          <w:b/>
          <w:bCs/>
          <w:sz w:val="22"/>
          <w:szCs w:val="22"/>
        </w:rPr>
        <w:t>2</w:t>
      </w:r>
      <w:r w:rsidRPr="001E0E29">
        <w:rPr>
          <w:rFonts w:ascii="Calibri" w:hAnsi="Calibri" w:cs="Calibri"/>
          <w:b/>
          <w:sz w:val="22"/>
          <w:szCs w:val="22"/>
        </w:rPr>
        <w:t>)</w:t>
      </w:r>
      <w:r w:rsidRPr="009B0F6E">
        <w:rPr>
          <w:rFonts w:ascii="Calibri" w:hAnsi="Calibri" w:cs="Calibri"/>
          <w:sz w:val="22"/>
          <w:szCs w:val="22"/>
        </w:rPr>
        <w:t>. Today, the landscape of LAA closure (LAAC) is rapidly expanding. This new generation of devices offer improved conformability, enhanced sealing capabilities, and reduced thromboembolic and hemorrhagic complications. Clinical trials are also starting to explore the role of concomitant LAAC in patients undergoing catheter ablation and in those without absolute contraindications to anticoagulation. This narrative review provides a comprehensive overview of the evolution of LAAC, including current evidence, emerging technologies, and ongoing trials that may redefine its future role in preventing cardioembolic stroke in AF management.</w:t>
      </w:r>
    </w:p>
    <w:p w14:paraId="24A41B54" w14:textId="77777777" w:rsidR="00623451" w:rsidRPr="009B0F6E" w:rsidRDefault="00623451" w:rsidP="003A7AD9">
      <w:pPr>
        <w:widowControl w:val="0"/>
        <w:jc w:val="both"/>
        <w:rPr>
          <w:rFonts w:ascii="Calibri" w:hAnsi="Calibri" w:cs="Calibri"/>
          <w:sz w:val="22"/>
          <w:szCs w:val="22"/>
        </w:rPr>
      </w:pPr>
    </w:p>
    <w:p w14:paraId="30483677" w14:textId="699AA15C" w:rsidR="00DD3127" w:rsidRPr="009B0F6E" w:rsidRDefault="00C1376C" w:rsidP="003A7AD9">
      <w:pPr>
        <w:widowControl w:val="0"/>
        <w:jc w:val="both"/>
        <w:rPr>
          <w:rFonts w:ascii="Calibri" w:hAnsi="Calibri" w:cs="Calibri"/>
          <w:b/>
          <w:bCs/>
          <w:sz w:val="22"/>
          <w:szCs w:val="22"/>
        </w:rPr>
      </w:pPr>
      <w:r w:rsidRPr="009B0F6E">
        <w:rPr>
          <w:rFonts w:ascii="Calibri" w:hAnsi="Calibri" w:cs="Calibri"/>
          <w:b/>
          <w:bCs/>
          <w:sz w:val="22"/>
          <w:szCs w:val="22"/>
        </w:rPr>
        <w:t>Evolution of LAA closure: from surgery to catheter-based approaches</w:t>
      </w:r>
    </w:p>
    <w:p w14:paraId="30483678" w14:textId="0E1C2A36" w:rsidR="00DD3127" w:rsidRPr="001E0E29" w:rsidRDefault="00C1376C" w:rsidP="003A7AD9">
      <w:pPr>
        <w:widowControl w:val="0"/>
        <w:jc w:val="both"/>
        <w:rPr>
          <w:rFonts w:ascii="Calibri" w:hAnsi="Calibri" w:cs="Calibri"/>
          <w:sz w:val="22"/>
          <w:szCs w:val="22"/>
        </w:rPr>
      </w:pPr>
      <w:r w:rsidRPr="009B0F6E">
        <w:rPr>
          <w:rFonts w:ascii="Calibri" w:hAnsi="Calibri" w:cs="Calibri"/>
          <w:sz w:val="22"/>
          <w:szCs w:val="22"/>
        </w:rPr>
        <w:t>The first description of a stroke-preventive local therapy involving LAA exclusion or isolation was provided by Madden et al. in 1949.</w:t>
      </w:r>
      <w:r w:rsidRPr="009B0F6E">
        <w:rPr>
          <w:rFonts w:ascii="Calibri" w:hAnsi="Calibri" w:cs="Calibri"/>
          <w:sz w:val="22"/>
          <w:szCs w:val="22"/>
          <w:vertAlign w:val="superscript"/>
        </w:rPr>
        <w:t>6</w:t>
      </w:r>
      <w:r w:rsidRPr="009B0F6E">
        <w:rPr>
          <w:rFonts w:ascii="Calibri" w:hAnsi="Calibri" w:cs="Calibri"/>
          <w:sz w:val="22"/>
          <w:szCs w:val="22"/>
        </w:rPr>
        <w:t xml:space="preserve"> This study involved resection of the left auricular appendix in two relatively young patients as a prophylactic measure against recurrent arterial emboli, following the intraoperative finding of thrombi within the auricular appendix. This early feasibility experience was later validated in a larger surgical cohort.</w:t>
      </w:r>
      <w:r w:rsidRPr="009B0F6E">
        <w:rPr>
          <w:rFonts w:ascii="Calibri" w:hAnsi="Calibri" w:cs="Calibri"/>
          <w:sz w:val="22"/>
          <w:szCs w:val="22"/>
          <w:vertAlign w:val="superscript"/>
        </w:rPr>
        <w:t>7</w:t>
      </w:r>
      <w:r w:rsidRPr="009B0F6E">
        <w:rPr>
          <w:rFonts w:ascii="Calibri" w:hAnsi="Calibri" w:cs="Calibri"/>
          <w:sz w:val="22"/>
          <w:szCs w:val="22"/>
        </w:rPr>
        <w:t xml:space="preserve"> Blackshear and Odell subsequently provided additional data supporting the link between AF-related stroke and LAA thrombus formation.</w:t>
      </w:r>
      <w:r w:rsidRPr="009B0F6E">
        <w:rPr>
          <w:rFonts w:ascii="Calibri" w:hAnsi="Calibri" w:cs="Calibri"/>
          <w:sz w:val="22"/>
          <w:szCs w:val="22"/>
          <w:vertAlign w:val="superscript"/>
        </w:rPr>
        <w:t>2</w:t>
      </w:r>
      <w:r w:rsidRPr="009B0F6E">
        <w:rPr>
          <w:rFonts w:ascii="Calibri" w:hAnsi="Calibri" w:cs="Calibri"/>
          <w:sz w:val="22"/>
          <w:szCs w:val="22"/>
        </w:rPr>
        <w:t xml:space="preserve"> </w:t>
      </w:r>
      <w:proofErr w:type="gramStart"/>
      <w:r w:rsidRPr="009B0F6E">
        <w:rPr>
          <w:rFonts w:ascii="Calibri" w:hAnsi="Calibri" w:cs="Calibri"/>
          <w:sz w:val="22"/>
          <w:szCs w:val="22"/>
        </w:rPr>
        <w:t>In</w:t>
      </w:r>
      <w:proofErr w:type="gramEnd"/>
      <w:r w:rsidRPr="009B0F6E">
        <w:rPr>
          <w:rFonts w:ascii="Calibri" w:hAnsi="Calibri" w:cs="Calibri"/>
          <w:sz w:val="22"/>
          <w:szCs w:val="22"/>
        </w:rPr>
        <w:t xml:space="preserve"> a retrospective surgical cohort, they demonstrated that over 90% of patients referred for cardiac surgery with NVAF and a history of stroke had thrombi located within the LAA. In contrast, this was true for only about 60% of patients with valvular AF. In a more recent prospective cohort of 1,450 patients referred for external cardioversion, Cresti et al. found that more than 99% of thrombi detected via transesophageal echocardiography (TEE) were located in the LAA.</w:t>
      </w:r>
      <w:r w:rsidRPr="009B0F6E">
        <w:rPr>
          <w:rFonts w:ascii="Calibri" w:hAnsi="Calibri" w:cs="Calibri"/>
          <w:sz w:val="22"/>
          <w:szCs w:val="22"/>
          <w:vertAlign w:val="superscript"/>
        </w:rPr>
        <w:t>8</w:t>
      </w:r>
      <w:r w:rsidRPr="009B0F6E">
        <w:rPr>
          <w:rFonts w:ascii="Calibri" w:hAnsi="Calibri" w:cs="Calibri"/>
          <w:sz w:val="22"/>
          <w:szCs w:val="22"/>
        </w:rPr>
        <w:t xml:space="preserve"> The LAA has therefore rightfully earned the title of ‘most lethal human attachment’.</w:t>
      </w:r>
      <w:r w:rsidRPr="009B0F6E">
        <w:rPr>
          <w:rFonts w:ascii="Calibri" w:hAnsi="Calibri" w:cs="Calibri"/>
          <w:sz w:val="22"/>
          <w:szCs w:val="22"/>
          <w:vertAlign w:val="superscript"/>
        </w:rPr>
        <w:t>7</w:t>
      </w:r>
    </w:p>
    <w:p w14:paraId="702CDEDC" w14:textId="77777777" w:rsidR="0087297C" w:rsidRPr="009B0F6E" w:rsidRDefault="0087297C" w:rsidP="003A7AD9">
      <w:pPr>
        <w:widowControl w:val="0"/>
        <w:jc w:val="both"/>
        <w:rPr>
          <w:rFonts w:ascii="Calibri" w:hAnsi="Calibri" w:cs="Calibri"/>
          <w:sz w:val="22"/>
          <w:szCs w:val="22"/>
        </w:rPr>
      </w:pPr>
    </w:p>
    <w:p w14:paraId="3048367A" w14:textId="468079BF"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The first large, prospective randomized controlled trial evaluating the impact of LAAC on stroke incidence was the</w:t>
      </w:r>
      <w:r w:rsidR="00351D23" w:rsidRPr="009B0F6E">
        <w:rPr>
          <w:rFonts w:ascii="Calibri" w:hAnsi="Calibri" w:cs="Calibri"/>
          <w:sz w:val="22"/>
          <w:szCs w:val="22"/>
        </w:rPr>
        <w:t xml:space="preserve"> </w:t>
      </w:r>
      <w:r w:rsidRPr="009B0F6E">
        <w:rPr>
          <w:rFonts w:ascii="Calibri" w:hAnsi="Calibri" w:cs="Calibri"/>
          <w:sz w:val="22"/>
          <w:szCs w:val="22"/>
        </w:rPr>
        <w:t>Left Atrial Appendage Occlusion Study (LAAOS).</w:t>
      </w:r>
      <w:r w:rsidRPr="009B0F6E">
        <w:rPr>
          <w:rFonts w:ascii="Calibri" w:hAnsi="Calibri" w:cs="Calibri"/>
          <w:sz w:val="22"/>
          <w:szCs w:val="22"/>
          <w:vertAlign w:val="superscript"/>
        </w:rPr>
        <w:t>9</w:t>
      </w:r>
      <w:r w:rsidRPr="009B0F6E">
        <w:rPr>
          <w:rFonts w:ascii="Calibri" w:hAnsi="Calibri" w:cs="Calibri"/>
          <w:sz w:val="22"/>
          <w:szCs w:val="22"/>
        </w:rPr>
        <w:t xml:space="preserve"> This study enrolled patients who underwent surgical LAA closure using either</w:t>
      </w:r>
      <w:r w:rsidR="00351D23" w:rsidRPr="009B0F6E">
        <w:rPr>
          <w:rFonts w:ascii="Calibri" w:hAnsi="Calibri" w:cs="Calibri"/>
          <w:sz w:val="22"/>
          <w:szCs w:val="22"/>
        </w:rPr>
        <w:t xml:space="preserve"> </w:t>
      </w:r>
      <w:r w:rsidRPr="009B0F6E">
        <w:rPr>
          <w:rFonts w:ascii="Calibri" w:hAnsi="Calibri" w:cs="Calibri"/>
          <w:sz w:val="22"/>
          <w:szCs w:val="22"/>
        </w:rPr>
        <w:t>epicardial suture</w:t>
      </w:r>
      <w:r w:rsidR="00351D23" w:rsidRPr="009B0F6E">
        <w:rPr>
          <w:rFonts w:ascii="Calibri" w:hAnsi="Calibri" w:cs="Calibri"/>
          <w:b/>
          <w:bCs/>
          <w:sz w:val="22"/>
          <w:szCs w:val="22"/>
        </w:rPr>
        <w:t xml:space="preserve"> </w:t>
      </w:r>
      <w:r w:rsidRPr="009B0F6E">
        <w:rPr>
          <w:rFonts w:ascii="Calibri" w:hAnsi="Calibri" w:cs="Calibri"/>
          <w:sz w:val="22"/>
          <w:szCs w:val="22"/>
        </w:rPr>
        <w:t>or stapling</w:t>
      </w:r>
      <w:r w:rsidR="00351D23" w:rsidRPr="009B0F6E">
        <w:rPr>
          <w:rFonts w:ascii="Calibri" w:hAnsi="Calibri" w:cs="Calibri"/>
          <w:sz w:val="22"/>
          <w:szCs w:val="22"/>
        </w:rPr>
        <w:t xml:space="preserve"> </w:t>
      </w:r>
      <w:r w:rsidRPr="009B0F6E">
        <w:rPr>
          <w:rFonts w:ascii="Calibri" w:hAnsi="Calibri" w:cs="Calibri"/>
          <w:sz w:val="22"/>
          <w:szCs w:val="22"/>
        </w:rPr>
        <w:t>techniques. While the trial did</w:t>
      </w:r>
      <w:r w:rsidR="00351D23" w:rsidRPr="009B0F6E">
        <w:rPr>
          <w:rFonts w:ascii="Calibri" w:hAnsi="Calibri" w:cs="Calibri"/>
          <w:sz w:val="22"/>
          <w:szCs w:val="22"/>
        </w:rPr>
        <w:t xml:space="preserve"> </w:t>
      </w:r>
      <w:r w:rsidRPr="009B0F6E">
        <w:rPr>
          <w:rFonts w:ascii="Calibri" w:hAnsi="Calibri" w:cs="Calibri"/>
          <w:sz w:val="22"/>
          <w:szCs w:val="22"/>
        </w:rPr>
        <w:t>not demonstrate a significant reduction in post-procedural stroke incidence</w:t>
      </w:r>
      <w:r w:rsidR="00351D23" w:rsidRPr="009B0F6E">
        <w:rPr>
          <w:rFonts w:ascii="Calibri" w:hAnsi="Calibri" w:cs="Calibri"/>
          <w:b/>
          <w:bCs/>
          <w:sz w:val="22"/>
          <w:szCs w:val="22"/>
        </w:rPr>
        <w:t xml:space="preserve"> </w:t>
      </w:r>
      <w:r w:rsidRPr="009B0F6E">
        <w:rPr>
          <w:rFonts w:ascii="Calibri" w:hAnsi="Calibri" w:cs="Calibri"/>
          <w:sz w:val="22"/>
          <w:szCs w:val="22"/>
        </w:rPr>
        <w:t>in the intervention group compared to controls, it did establish the</w:t>
      </w:r>
      <w:r w:rsidR="00351D23" w:rsidRPr="009B0F6E">
        <w:rPr>
          <w:rFonts w:ascii="Calibri" w:hAnsi="Calibri" w:cs="Calibri"/>
          <w:sz w:val="22"/>
          <w:szCs w:val="22"/>
        </w:rPr>
        <w:t xml:space="preserve"> </w:t>
      </w:r>
      <w:r w:rsidRPr="009B0F6E">
        <w:rPr>
          <w:rFonts w:ascii="Calibri" w:hAnsi="Calibri" w:cs="Calibri"/>
          <w:sz w:val="22"/>
          <w:szCs w:val="22"/>
        </w:rPr>
        <w:t>feasibility and safety</w:t>
      </w:r>
      <w:r w:rsidR="00351D23" w:rsidRPr="009B0F6E">
        <w:rPr>
          <w:rFonts w:ascii="Calibri" w:hAnsi="Calibri" w:cs="Calibri"/>
          <w:sz w:val="22"/>
          <w:szCs w:val="22"/>
        </w:rPr>
        <w:t xml:space="preserve"> </w:t>
      </w:r>
      <w:r w:rsidRPr="009B0F6E">
        <w:rPr>
          <w:rFonts w:ascii="Calibri" w:hAnsi="Calibri" w:cs="Calibri"/>
          <w:sz w:val="22"/>
          <w:szCs w:val="22"/>
        </w:rPr>
        <w:t>of surgical LAAC (S-LAAC). Moreover, it highlighted the need for more</w:t>
      </w:r>
      <w:r w:rsidR="00351D23" w:rsidRPr="009B0F6E">
        <w:rPr>
          <w:rFonts w:ascii="Calibri" w:hAnsi="Calibri" w:cs="Calibri"/>
          <w:sz w:val="22"/>
          <w:szCs w:val="22"/>
        </w:rPr>
        <w:t xml:space="preserve"> </w:t>
      </w:r>
      <w:r w:rsidRPr="009B0F6E">
        <w:rPr>
          <w:rFonts w:ascii="Calibri" w:hAnsi="Calibri" w:cs="Calibri"/>
          <w:sz w:val="22"/>
          <w:szCs w:val="22"/>
        </w:rPr>
        <w:t>effective LAAC strategies</w:t>
      </w:r>
      <w:r w:rsidR="00351D23" w:rsidRPr="009B0F6E">
        <w:rPr>
          <w:rFonts w:ascii="Calibri" w:hAnsi="Calibri" w:cs="Calibri"/>
          <w:sz w:val="22"/>
          <w:szCs w:val="22"/>
        </w:rPr>
        <w:t xml:space="preserve"> </w:t>
      </w:r>
      <w:r w:rsidRPr="009B0F6E">
        <w:rPr>
          <w:rFonts w:ascii="Calibri" w:hAnsi="Calibri" w:cs="Calibri"/>
          <w:sz w:val="22"/>
          <w:szCs w:val="22"/>
        </w:rPr>
        <w:t>and laid the groundwork for future trials. The</w:t>
      </w:r>
      <w:r w:rsidR="00351D23" w:rsidRPr="009B0F6E">
        <w:rPr>
          <w:rFonts w:ascii="Calibri" w:hAnsi="Calibri" w:cs="Calibri"/>
          <w:sz w:val="22"/>
          <w:szCs w:val="22"/>
        </w:rPr>
        <w:t xml:space="preserve"> </w:t>
      </w:r>
      <w:r w:rsidRPr="009B0F6E">
        <w:rPr>
          <w:rFonts w:ascii="Calibri" w:hAnsi="Calibri" w:cs="Calibri"/>
          <w:sz w:val="22"/>
          <w:szCs w:val="22"/>
        </w:rPr>
        <w:t>pivotal LAAOS III trial</w:t>
      </w:r>
      <w:r w:rsidR="00351D23" w:rsidRPr="009B0F6E">
        <w:rPr>
          <w:rFonts w:ascii="Calibri" w:hAnsi="Calibri" w:cs="Calibri"/>
          <w:sz w:val="22"/>
          <w:szCs w:val="22"/>
        </w:rPr>
        <w:t xml:space="preserve"> </w:t>
      </w:r>
      <w:r w:rsidRPr="009B0F6E">
        <w:rPr>
          <w:rFonts w:ascii="Calibri" w:hAnsi="Calibri" w:cs="Calibri"/>
          <w:sz w:val="22"/>
          <w:szCs w:val="22"/>
        </w:rPr>
        <w:t>later provided conclusive evidence that</w:t>
      </w:r>
      <w:r w:rsidR="00351D23" w:rsidRPr="009B0F6E">
        <w:rPr>
          <w:rFonts w:ascii="Calibri" w:hAnsi="Calibri" w:cs="Calibri"/>
          <w:sz w:val="22"/>
          <w:szCs w:val="22"/>
        </w:rPr>
        <w:t xml:space="preserve"> </w:t>
      </w:r>
      <w:r w:rsidRPr="009B0F6E">
        <w:rPr>
          <w:rFonts w:ascii="Calibri" w:hAnsi="Calibri" w:cs="Calibri"/>
          <w:sz w:val="22"/>
          <w:szCs w:val="22"/>
        </w:rPr>
        <w:t>LAA occlusion during cardiac surgery reduces the risk of stroke and systemic embolism (SE) by 33%, even among patients receiving OACs.</w:t>
      </w:r>
      <w:r w:rsidRPr="009B0F6E">
        <w:rPr>
          <w:rFonts w:ascii="Calibri" w:hAnsi="Calibri" w:cs="Calibri"/>
          <w:sz w:val="22"/>
          <w:szCs w:val="22"/>
          <w:vertAlign w:val="superscript"/>
        </w:rPr>
        <w:t>10</w:t>
      </w:r>
      <w:r w:rsidRPr="009B0F6E">
        <w:rPr>
          <w:rFonts w:ascii="Calibri" w:hAnsi="Calibri" w:cs="Calibri"/>
          <w:sz w:val="22"/>
          <w:szCs w:val="22"/>
        </w:rPr>
        <w:t xml:space="preserve"> Notably, this benefit was achieved</w:t>
      </w:r>
      <w:r w:rsidR="00351D23" w:rsidRPr="009B0F6E">
        <w:rPr>
          <w:rFonts w:ascii="Calibri" w:hAnsi="Calibri" w:cs="Calibri"/>
          <w:sz w:val="22"/>
          <w:szCs w:val="22"/>
        </w:rPr>
        <w:t xml:space="preserve"> </w:t>
      </w:r>
      <w:r w:rsidRPr="009B0F6E">
        <w:rPr>
          <w:rFonts w:ascii="Calibri" w:hAnsi="Calibri" w:cs="Calibri"/>
          <w:sz w:val="22"/>
          <w:szCs w:val="22"/>
        </w:rPr>
        <w:t>without an increase in major bleeding or surgical complications, confirming both the</w:t>
      </w:r>
      <w:r w:rsidR="00351D23" w:rsidRPr="009B0F6E">
        <w:rPr>
          <w:rFonts w:ascii="Calibri" w:hAnsi="Calibri" w:cs="Calibri"/>
          <w:sz w:val="22"/>
          <w:szCs w:val="22"/>
        </w:rPr>
        <w:t xml:space="preserve"> </w:t>
      </w:r>
      <w:r w:rsidRPr="009B0F6E">
        <w:rPr>
          <w:rFonts w:ascii="Calibri" w:hAnsi="Calibri" w:cs="Calibri"/>
          <w:sz w:val="22"/>
          <w:szCs w:val="22"/>
        </w:rPr>
        <w:t>efficacy and safety</w:t>
      </w:r>
      <w:r w:rsidR="00351D23" w:rsidRPr="009B0F6E">
        <w:rPr>
          <w:rFonts w:ascii="Calibri" w:hAnsi="Calibri" w:cs="Calibri"/>
          <w:sz w:val="22"/>
          <w:szCs w:val="22"/>
        </w:rPr>
        <w:t xml:space="preserve"> </w:t>
      </w:r>
      <w:r w:rsidRPr="009B0F6E">
        <w:rPr>
          <w:rFonts w:ascii="Calibri" w:hAnsi="Calibri" w:cs="Calibri"/>
          <w:sz w:val="22"/>
          <w:szCs w:val="22"/>
        </w:rPr>
        <w:t>of the intervention. These findings have prompted changes in clinical practice guidelines, including the recommendation for routine S-LAAC</w:t>
      </w:r>
      <w:r w:rsidR="00351D23" w:rsidRPr="009B0F6E">
        <w:rPr>
          <w:rFonts w:ascii="Calibri" w:hAnsi="Calibri" w:cs="Calibri"/>
          <w:sz w:val="22"/>
          <w:szCs w:val="22"/>
        </w:rPr>
        <w:t xml:space="preserve"> </w:t>
      </w:r>
      <w:r w:rsidRPr="009B0F6E">
        <w:rPr>
          <w:rFonts w:ascii="Calibri" w:hAnsi="Calibri" w:cs="Calibri"/>
          <w:sz w:val="22"/>
          <w:szCs w:val="22"/>
        </w:rPr>
        <w:t>in patients with AF undergoing cardiac surgery and for those at high risk of thromboembolism.</w:t>
      </w:r>
      <w:r w:rsidRPr="009B0F6E">
        <w:rPr>
          <w:rFonts w:ascii="Calibri" w:hAnsi="Calibri" w:cs="Calibri"/>
          <w:sz w:val="22"/>
          <w:szCs w:val="22"/>
          <w:vertAlign w:val="superscript"/>
        </w:rPr>
        <w:t>3</w:t>
      </w:r>
      <w:proofErr w:type="gramStart"/>
      <w:r w:rsidRPr="009B0F6E">
        <w:rPr>
          <w:rFonts w:ascii="Calibri" w:hAnsi="Calibri" w:cs="Calibri"/>
          <w:sz w:val="22"/>
          <w:szCs w:val="22"/>
          <w:vertAlign w:val="superscript"/>
        </w:rPr>
        <w:t>,4</w:t>
      </w:r>
      <w:proofErr w:type="gramEnd"/>
    </w:p>
    <w:p w14:paraId="48E358B5" w14:textId="77777777" w:rsidR="00623451" w:rsidRPr="009B0F6E" w:rsidRDefault="00623451" w:rsidP="003A7AD9">
      <w:pPr>
        <w:widowControl w:val="0"/>
        <w:jc w:val="both"/>
        <w:rPr>
          <w:rFonts w:ascii="Calibri" w:hAnsi="Calibri" w:cs="Calibri"/>
          <w:sz w:val="22"/>
          <w:szCs w:val="22"/>
        </w:rPr>
      </w:pPr>
    </w:p>
    <w:p w14:paraId="3048367C" w14:textId="48FC47D0" w:rsidR="00DD3127" w:rsidRPr="009B0F6E" w:rsidRDefault="00C1376C" w:rsidP="003A7AD9">
      <w:pPr>
        <w:widowControl w:val="0"/>
        <w:jc w:val="both"/>
        <w:rPr>
          <w:rFonts w:ascii="Calibri" w:hAnsi="Calibri" w:cs="Calibri"/>
          <w:b/>
          <w:bCs/>
          <w:sz w:val="22"/>
          <w:szCs w:val="22"/>
        </w:rPr>
      </w:pPr>
      <w:r w:rsidRPr="009B0F6E">
        <w:rPr>
          <w:rFonts w:ascii="Calibri" w:hAnsi="Calibri" w:cs="Calibri"/>
          <w:b/>
          <w:bCs/>
          <w:sz w:val="22"/>
          <w:szCs w:val="22"/>
        </w:rPr>
        <w:t>Evolution of percutaneous LAAC devices</w:t>
      </w:r>
    </w:p>
    <w:p w14:paraId="3048367D" w14:textId="569241BC"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After the initial success of S-LAAC approaches, minimally invasive catheter-based solutions began to emerge. The first of these were the PLAATO system and the Watchman device.</w:t>
      </w:r>
      <w:r w:rsidRPr="009B0F6E">
        <w:rPr>
          <w:rFonts w:ascii="Calibri" w:hAnsi="Calibri" w:cs="Calibri"/>
          <w:sz w:val="22"/>
          <w:szCs w:val="22"/>
          <w:vertAlign w:val="superscript"/>
        </w:rPr>
        <w:t>11</w:t>
      </w:r>
      <w:proofErr w:type="gramStart"/>
      <w:r w:rsidRPr="009B0F6E">
        <w:rPr>
          <w:rFonts w:ascii="Calibri" w:hAnsi="Calibri" w:cs="Calibri"/>
          <w:sz w:val="22"/>
          <w:szCs w:val="22"/>
          <w:vertAlign w:val="superscript"/>
        </w:rPr>
        <w:t>,12</w:t>
      </w:r>
      <w:proofErr w:type="gramEnd"/>
      <w:r w:rsidRPr="009B0F6E">
        <w:rPr>
          <w:rFonts w:ascii="Calibri" w:hAnsi="Calibri" w:cs="Calibri"/>
          <w:sz w:val="22"/>
          <w:szCs w:val="22"/>
        </w:rPr>
        <w:t xml:space="preserve"> The PLAATO system (eV3, Inc., Plymouth, MA, USA) was the first device specifically designed for LAAC to be approved for implantation in humans. It consisted of a self-expandable nitinol cage covered with an occlusive expanded polytetrafluoroethylene (ePTFE).</w:t>
      </w:r>
      <w:r w:rsidRPr="009B0F6E">
        <w:rPr>
          <w:rFonts w:ascii="Calibri" w:hAnsi="Calibri" w:cs="Calibri"/>
          <w:sz w:val="22"/>
          <w:szCs w:val="22"/>
          <w:vertAlign w:val="superscript"/>
        </w:rPr>
        <w:t>13</w:t>
      </w:r>
      <w:r w:rsidRPr="009B0F6E">
        <w:rPr>
          <w:rFonts w:ascii="Calibri" w:hAnsi="Calibri" w:cs="Calibri"/>
          <w:sz w:val="22"/>
          <w:szCs w:val="22"/>
        </w:rPr>
        <w:t xml:space="preserve"> The</w:t>
      </w:r>
      <w:r w:rsidR="00351D23" w:rsidRPr="009B0F6E">
        <w:rPr>
          <w:rFonts w:ascii="Calibri" w:hAnsi="Calibri" w:cs="Calibri"/>
          <w:sz w:val="22"/>
          <w:szCs w:val="22"/>
        </w:rPr>
        <w:t xml:space="preserve"> </w:t>
      </w:r>
      <w:r w:rsidRPr="009B0F6E">
        <w:rPr>
          <w:rFonts w:ascii="Calibri" w:hAnsi="Calibri" w:cs="Calibri"/>
          <w:sz w:val="22"/>
          <w:szCs w:val="22"/>
        </w:rPr>
        <w:t>PLAATO (Percutaneous Left Atrial Appendage Transcatheter Occlusion) study, the first multicenter trial on LAAC, demonstrated a high procedural success rate (approximately 90%) and acceptable safety profile, with a 10% incidence of residual leak at two-month follow-up TEE. Despite these promising results, the PLAATO device was eventually discontinued due to financial and commercial constraints. Following its discontinuation, research efforts rapidly shifted toward developing safer, more effective and user-friendly transcatheter solutions. Among the various technologies explored, two device families, Watchman</w:t>
      </w:r>
      <w:r w:rsidR="00351D23" w:rsidRPr="009B0F6E">
        <w:rPr>
          <w:rFonts w:ascii="Calibri" w:hAnsi="Calibri" w:cs="Calibri"/>
          <w:sz w:val="22"/>
          <w:szCs w:val="22"/>
        </w:rPr>
        <w:t xml:space="preserve"> </w:t>
      </w:r>
      <w:r w:rsidRPr="009B0F6E">
        <w:rPr>
          <w:rFonts w:ascii="Calibri" w:hAnsi="Calibri" w:cs="Calibri"/>
          <w:sz w:val="22"/>
          <w:szCs w:val="22"/>
        </w:rPr>
        <w:t>and</w:t>
      </w:r>
      <w:r w:rsidR="00351D23" w:rsidRPr="009B0F6E">
        <w:rPr>
          <w:rFonts w:ascii="Calibri" w:hAnsi="Calibri" w:cs="Calibri"/>
          <w:sz w:val="22"/>
          <w:szCs w:val="22"/>
        </w:rPr>
        <w:t xml:space="preserve"> </w:t>
      </w:r>
      <w:r w:rsidRPr="009B0F6E">
        <w:rPr>
          <w:rFonts w:ascii="Calibri" w:hAnsi="Calibri" w:cs="Calibri"/>
          <w:sz w:val="22"/>
          <w:szCs w:val="22"/>
        </w:rPr>
        <w:t>Amplatzer devices emerged as the most widely adopted and clinically validated options for LAAC.</w:t>
      </w:r>
    </w:p>
    <w:p w14:paraId="4F40A09B" w14:textId="77777777" w:rsidR="00034C89" w:rsidRPr="009B0F6E" w:rsidRDefault="00034C89" w:rsidP="003A7AD9">
      <w:pPr>
        <w:widowControl w:val="0"/>
        <w:jc w:val="both"/>
        <w:rPr>
          <w:rFonts w:ascii="Calibri" w:hAnsi="Calibri" w:cs="Calibri"/>
          <w:sz w:val="22"/>
          <w:szCs w:val="22"/>
        </w:rPr>
      </w:pPr>
    </w:p>
    <w:p w14:paraId="3048367E" w14:textId="15454CC3" w:rsidR="00DD3127" w:rsidRPr="001E0E29" w:rsidRDefault="00C1376C" w:rsidP="003A7AD9">
      <w:pPr>
        <w:widowControl w:val="0"/>
        <w:jc w:val="both"/>
        <w:rPr>
          <w:rFonts w:ascii="Calibri" w:hAnsi="Calibri" w:cs="Calibri"/>
          <w:bCs/>
          <w:i/>
          <w:sz w:val="22"/>
          <w:szCs w:val="22"/>
        </w:rPr>
      </w:pPr>
      <w:r w:rsidRPr="001E0E29">
        <w:rPr>
          <w:rFonts w:ascii="Calibri" w:hAnsi="Calibri" w:cs="Calibri"/>
          <w:bCs/>
          <w:i/>
          <w:sz w:val="22"/>
          <w:szCs w:val="22"/>
        </w:rPr>
        <w:t>Endocardial approach</w:t>
      </w:r>
    </w:p>
    <w:p w14:paraId="3048367F" w14:textId="33E3ED0C" w:rsidR="00DD3127" w:rsidRPr="001E0E29" w:rsidRDefault="00C1376C" w:rsidP="003A7AD9">
      <w:pPr>
        <w:widowControl w:val="0"/>
        <w:jc w:val="both"/>
        <w:rPr>
          <w:rFonts w:ascii="Calibri" w:hAnsi="Calibri" w:cs="Calibri"/>
          <w:b/>
          <w:bCs/>
          <w:i/>
          <w:sz w:val="22"/>
          <w:szCs w:val="22"/>
        </w:rPr>
      </w:pPr>
      <w:r w:rsidRPr="001E0E29">
        <w:rPr>
          <w:rFonts w:ascii="Calibri" w:hAnsi="Calibri" w:cs="Calibri"/>
          <w:b/>
          <w:bCs/>
          <w:i/>
          <w:sz w:val="22"/>
          <w:szCs w:val="22"/>
        </w:rPr>
        <w:t>Watchman device series</w:t>
      </w:r>
    </w:p>
    <w:p w14:paraId="03B31372" w14:textId="386D0E80" w:rsidR="00AD3D90" w:rsidRPr="001E0E29" w:rsidRDefault="00C1376C" w:rsidP="003A7AD9">
      <w:pPr>
        <w:widowControl w:val="0"/>
        <w:jc w:val="both"/>
        <w:rPr>
          <w:rFonts w:ascii="Calibri" w:hAnsi="Calibri" w:cs="Calibri"/>
          <w:sz w:val="22"/>
          <w:szCs w:val="22"/>
        </w:rPr>
      </w:pPr>
      <w:r w:rsidRPr="009B0F6E">
        <w:rPr>
          <w:rFonts w:ascii="Calibri" w:hAnsi="Calibri" w:cs="Calibri"/>
          <w:sz w:val="22"/>
          <w:szCs w:val="22"/>
        </w:rPr>
        <w:t>The</w:t>
      </w:r>
      <w:r w:rsidR="00351D23" w:rsidRPr="009B0F6E">
        <w:rPr>
          <w:rFonts w:ascii="Calibri" w:hAnsi="Calibri" w:cs="Calibri"/>
          <w:sz w:val="22"/>
          <w:szCs w:val="22"/>
        </w:rPr>
        <w:t xml:space="preserve"> </w:t>
      </w:r>
      <w:r w:rsidRPr="009B0F6E">
        <w:rPr>
          <w:rFonts w:ascii="Calibri" w:hAnsi="Calibri" w:cs="Calibri"/>
          <w:sz w:val="22"/>
          <w:szCs w:val="22"/>
        </w:rPr>
        <w:t>Watchman device</w:t>
      </w:r>
      <w:r w:rsidR="00351D23" w:rsidRPr="009B0F6E">
        <w:rPr>
          <w:rFonts w:ascii="Calibri" w:hAnsi="Calibri" w:cs="Calibri"/>
          <w:sz w:val="22"/>
          <w:szCs w:val="22"/>
        </w:rPr>
        <w:t xml:space="preserve"> </w:t>
      </w:r>
      <w:r w:rsidRPr="009B0F6E">
        <w:rPr>
          <w:rFonts w:ascii="Calibri" w:hAnsi="Calibri" w:cs="Calibri"/>
          <w:sz w:val="22"/>
          <w:szCs w:val="22"/>
        </w:rPr>
        <w:t>(Boston Scientific, Natick, MA) was the first percutaneous LAAC system to gain widespread clinical use. Structurally, the original</w:t>
      </w:r>
      <w:r w:rsidR="00351D23" w:rsidRPr="009B0F6E">
        <w:rPr>
          <w:rFonts w:ascii="Calibri" w:hAnsi="Calibri" w:cs="Calibri"/>
          <w:sz w:val="22"/>
          <w:szCs w:val="22"/>
        </w:rPr>
        <w:t xml:space="preserve"> </w:t>
      </w:r>
      <w:r w:rsidRPr="009B0F6E">
        <w:rPr>
          <w:rFonts w:ascii="Calibri" w:hAnsi="Calibri" w:cs="Calibri"/>
          <w:sz w:val="22"/>
          <w:szCs w:val="22"/>
        </w:rPr>
        <w:t>Watchman 2.5</w:t>
      </w:r>
      <w:r w:rsidRPr="009B0F6E">
        <w:rPr>
          <w:rFonts w:ascii="Calibri" w:hAnsi="Calibri" w:cs="Calibri"/>
          <w:b/>
          <w:bCs/>
          <w:sz w:val="22"/>
          <w:szCs w:val="22"/>
        </w:rPr>
        <w:t xml:space="preserve"> </w:t>
      </w:r>
      <w:r w:rsidRPr="009B0F6E">
        <w:rPr>
          <w:rFonts w:ascii="Calibri" w:hAnsi="Calibri" w:cs="Calibri"/>
          <w:sz w:val="22"/>
          <w:szCs w:val="22"/>
        </w:rPr>
        <w:t>featured a parachute-shaped, self-expanding nitinol frame covered with a polyethylene terephthalate (PET) membrane designed to promote endothelialization and prevent thrombus embolization.</w:t>
      </w:r>
      <w:r w:rsidRPr="009B0F6E">
        <w:rPr>
          <w:rFonts w:ascii="Calibri" w:hAnsi="Calibri" w:cs="Calibri"/>
          <w:sz w:val="22"/>
          <w:szCs w:val="22"/>
          <w:vertAlign w:val="superscript"/>
        </w:rPr>
        <w:t>1</w:t>
      </w:r>
      <w:r w:rsidR="00D12D68" w:rsidRPr="009B0F6E">
        <w:rPr>
          <w:rFonts w:ascii="Calibri" w:hAnsi="Calibri" w:cs="Calibri"/>
          <w:sz w:val="22"/>
          <w:szCs w:val="22"/>
          <w:vertAlign w:val="superscript"/>
        </w:rPr>
        <w:t>2</w:t>
      </w:r>
      <w:r w:rsidRPr="009B0F6E">
        <w:rPr>
          <w:rFonts w:ascii="Calibri" w:hAnsi="Calibri" w:cs="Calibri"/>
          <w:sz w:val="22"/>
          <w:szCs w:val="22"/>
        </w:rPr>
        <w:t xml:space="preserve"> Its safety and efficacy were first evaluated in the landmark PROTECT (Watchman Left Atrial Appendage Closure Technology for Embolic Protection in Patients With Atrial Fibrillation) AF trial,</w:t>
      </w:r>
      <w:r w:rsidRPr="009B0F6E">
        <w:rPr>
          <w:rFonts w:ascii="Calibri" w:hAnsi="Calibri" w:cs="Calibri"/>
          <w:sz w:val="22"/>
          <w:szCs w:val="22"/>
          <w:vertAlign w:val="superscript"/>
        </w:rPr>
        <w:t>1</w:t>
      </w:r>
      <w:r w:rsidR="00D12D68" w:rsidRPr="009B0F6E">
        <w:rPr>
          <w:rFonts w:ascii="Calibri" w:hAnsi="Calibri" w:cs="Calibri"/>
          <w:sz w:val="22"/>
          <w:szCs w:val="22"/>
          <w:vertAlign w:val="superscript"/>
        </w:rPr>
        <w:t>4</w:t>
      </w:r>
      <w:r w:rsidRPr="009B0F6E">
        <w:rPr>
          <w:rFonts w:ascii="Calibri" w:hAnsi="Calibri" w:cs="Calibri"/>
          <w:sz w:val="22"/>
          <w:szCs w:val="22"/>
        </w:rPr>
        <w:t xml:space="preserve"> which demonstrated non-inferiority to warfarin for stroke prevention in patients with NVAF. However, there was a higher initial rate of periprocedural complications, such as pericardial effusion and air embolism (see below for the discussion on LAAC RCTs). Subsequent data, including those from the PREVAIL trial and the CAP/CAP 2 (Continued Access to PROTECT AF and PREVAIL, respectively) registries</w:t>
      </w:r>
      <w:proofErr w:type="gramStart"/>
      <w:r w:rsidRPr="009B0F6E">
        <w:rPr>
          <w:rFonts w:ascii="Calibri" w:hAnsi="Calibri" w:cs="Calibri"/>
          <w:sz w:val="22"/>
          <w:szCs w:val="22"/>
        </w:rPr>
        <w:t>,</w:t>
      </w:r>
      <w:r w:rsidRPr="009B0F6E">
        <w:rPr>
          <w:rFonts w:ascii="Calibri" w:hAnsi="Calibri" w:cs="Calibri"/>
          <w:sz w:val="22"/>
          <w:szCs w:val="22"/>
          <w:vertAlign w:val="superscript"/>
        </w:rPr>
        <w:t>1</w:t>
      </w:r>
      <w:r w:rsidR="00D12D68" w:rsidRPr="009B0F6E">
        <w:rPr>
          <w:rFonts w:ascii="Calibri" w:hAnsi="Calibri" w:cs="Calibri"/>
          <w:sz w:val="22"/>
          <w:szCs w:val="22"/>
          <w:vertAlign w:val="superscript"/>
        </w:rPr>
        <w:t>5</w:t>
      </w:r>
      <w:r w:rsidRPr="009B0F6E">
        <w:rPr>
          <w:rFonts w:ascii="Calibri" w:hAnsi="Calibri" w:cs="Calibri"/>
          <w:sz w:val="22"/>
          <w:szCs w:val="22"/>
          <w:vertAlign w:val="superscript"/>
        </w:rPr>
        <w:t>,1</w:t>
      </w:r>
      <w:r w:rsidR="00D12D68" w:rsidRPr="009B0F6E">
        <w:rPr>
          <w:rFonts w:ascii="Calibri" w:hAnsi="Calibri" w:cs="Calibri"/>
          <w:sz w:val="22"/>
          <w:szCs w:val="22"/>
          <w:vertAlign w:val="superscript"/>
        </w:rPr>
        <w:t>6</w:t>
      </w:r>
      <w:proofErr w:type="gramEnd"/>
      <w:r w:rsidRPr="009B0F6E">
        <w:rPr>
          <w:rFonts w:ascii="Calibri" w:hAnsi="Calibri" w:cs="Calibri"/>
          <w:sz w:val="22"/>
          <w:szCs w:val="22"/>
        </w:rPr>
        <w:t xml:space="preserve"> confirmed the feasibility of the procedure, with improved safety outcomes over time, reflecting an increase in operator experience and refinement in technique. The Watchman FLX represented the next generation of the Watchman device series, incorporating several key design improvements over the previous Watchman 2.5 model.</w:t>
      </w:r>
      <w:r w:rsidRPr="009B0F6E">
        <w:rPr>
          <w:rFonts w:ascii="Calibri" w:hAnsi="Calibri" w:cs="Calibri"/>
          <w:sz w:val="22"/>
          <w:szCs w:val="22"/>
          <w:vertAlign w:val="superscript"/>
        </w:rPr>
        <w:t>1</w:t>
      </w:r>
      <w:r w:rsidR="00D12D68" w:rsidRPr="009B0F6E">
        <w:rPr>
          <w:rFonts w:ascii="Calibri" w:hAnsi="Calibri" w:cs="Calibri"/>
          <w:sz w:val="22"/>
          <w:szCs w:val="22"/>
          <w:vertAlign w:val="superscript"/>
        </w:rPr>
        <w:t>7</w:t>
      </w:r>
      <w:r w:rsidRPr="009B0F6E">
        <w:rPr>
          <w:rFonts w:ascii="Calibri" w:hAnsi="Calibri" w:cs="Calibri"/>
          <w:sz w:val="22"/>
          <w:szCs w:val="22"/>
        </w:rPr>
        <w:t xml:space="preserve"> </w:t>
      </w:r>
      <w:proofErr w:type="gramStart"/>
      <w:r w:rsidRPr="009B0F6E">
        <w:rPr>
          <w:rFonts w:ascii="Calibri" w:hAnsi="Calibri" w:cs="Calibri"/>
          <w:sz w:val="22"/>
          <w:szCs w:val="22"/>
        </w:rPr>
        <w:t>Notably</w:t>
      </w:r>
      <w:proofErr w:type="gramEnd"/>
      <w:r w:rsidRPr="009B0F6E">
        <w:rPr>
          <w:rFonts w:ascii="Calibri" w:hAnsi="Calibri" w:cs="Calibri"/>
          <w:sz w:val="22"/>
          <w:szCs w:val="22"/>
        </w:rPr>
        <w:t>, the FLX features a greater number of open-frame cells, enhancing device conformability, and a 10–20% reduction in length, allowing for implantation in shallower LAAs (requiring only 50% of the device size in depth). Compared to the Watchman 2.5, the number of fixation anchors was increased to 18 J-shaped anchors arranged in two rows, improving stability. The FLX also introduced a closed, atraumatic distal end with a fluoroscopic marker, facilitating safer advancement into the LAA, particularly when partially deployed in a “ball” configuration, reducing the risk of distal perforation. Further enhancements included extended polyester fabric coverage to minimize peri-device leaks (PDL) and a recessed delivery cable screw to reduce the risk of device-related thrombus (DRT).</w:t>
      </w:r>
      <w:r w:rsidRPr="009B0F6E">
        <w:rPr>
          <w:rFonts w:ascii="Calibri" w:hAnsi="Calibri" w:cs="Calibri"/>
          <w:sz w:val="22"/>
          <w:szCs w:val="22"/>
          <w:vertAlign w:val="superscript"/>
        </w:rPr>
        <w:t>1</w:t>
      </w:r>
      <w:r w:rsidR="00D12D68" w:rsidRPr="009B0F6E">
        <w:rPr>
          <w:rFonts w:ascii="Calibri" w:hAnsi="Calibri" w:cs="Calibri"/>
          <w:sz w:val="22"/>
          <w:szCs w:val="22"/>
          <w:vertAlign w:val="superscript"/>
        </w:rPr>
        <w:t>8</w:t>
      </w:r>
    </w:p>
    <w:p w14:paraId="30483680" w14:textId="4AD20A1C" w:rsidR="00DD3127" w:rsidRPr="009B0F6E" w:rsidRDefault="00DD3127" w:rsidP="003A7AD9">
      <w:pPr>
        <w:widowControl w:val="0"/>
        <w:jc w:val="both"/>
        <w:rPr>
          <w:rFonts w:ascii="Calibri" w:hAnsi="Calibri" w:cs="Calibri"/>
          <w:sz w:val="22"/>
          <w:szCs w:val="22"/>
        </w:rPr>
      </w:pPr>
    </w:p>
    <w:p w14:paraId="30483684" w14:textId="7D9B553D"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The pivotal PINNACLE FLX (Protection Against Embolism for Non-valvular AF Patients: Investigational Device Evaluation of the Watchman FLX LAA Closure Technology) trial provided the first prospective evaluation of the Watchman FLX device.</w:t>
      </w:r>
      <w:r w:rsidRPr="009B0F6E">
        <w:rPr>
          <w:rFonts w:ascii="Calibri" w:hAnsi="Calibri" w:cs="Calibri"/>
          <w:sz w:val="22"/>
          <w:szCs w:val="22"/>
          <w:vertAlign w:val="superscript"/>
        </w:rPr>
        <w:t>1</w:t>
      </w:r>
      <w:r w:rsidR="00D12D68" w:rsidRPr="009B0F6E">
        <w:rPr>
          <w:rFonts w:ascii="Calibri" w:hAnsi="Calibri" w:cs="Calibri"/>
          <w:sz w:val="22"/>
          <w:szCs w:val="22"/>
          <w:vertAlign w:val="superscript"/>
        </w:rPr>
        <w:t>7</w:t>
      </w:r>
      <w:r w:rsidRPr="009B0F6E">
        <w:rPr>
          <w:rFonts w:ascii="Calibri" w:hAnsi="Calibri" w:cs="Calibri"/>
          <w:sz w:val="22"/>
          <w:szCs w:val="22"/>
        </w:rPr>
        <w:t xml:space="preserve"> In this study, the primary effectiveness endpoint of adequate LAA closure was met in 100% of evaluable patients at both 45 days and 12 months. The mean peri-device leak was 0.03</w:t>
      </w:r>
      <w:r w:rsidR="000A5F4C" w:rsidRPr="009B0F6E">
        <w:rPr>
          <w:rFonts w:ascii="Calibri" w:hAnsi="Calibri" w:cs="Calibri"/>
          <w:sz w:val="22"/>
          <w:szCs w:val="22"/>
        </w:rPr>
        <w:t xml:space="preserve"> </w:t>
      </w:r>
      <w:r w:rsidRPr="009B0F6E">
        <w:rPr>
          <w:rFonts w:ascii="Calibri" w:hAnsi="Calibri" w:cs="Calibri"/>
          <w:sz w:val="22"/>
          <w:szCs w:val="22"/>
        </w:rPr>
        <w:t>±</w:t>
      </w:r>
      <w:r w:rsidR="000A5F4C" w:rsidRPr="009B0F6E">
        <w:rPr>
          <w:rFonts w:ascii="Calibri" w:hAnsi="Calibri" w:cs="Calibri"/>
          <w:sz w:val="22"/>
          <w:szCs w:val="22"/>
        </w:rPr>
        <w:t xml:space="preserve"> </w:t>
      </w:r>
      <w:r w:rsidRPr="009B0F6E">
        <w:rPr>
          <w:rFonts w:ascii="Calibri" w:hAnsi="Calibri" w:cs="Calibri"/>
          <w:sz w:val="22"/>
          <w:szCs w:val="22"/>
        </w:rPr>
        <w:t>0.22 mm at implant and 0.57</w:t>
      </w:r>
      <w:r w:rsidR="000A5F4C" w:rsidRPr="009B0F6E">
        <w:rPr>
          <w:rFonts w:ascii="Calibri" w:hAnsi="Calibri" w:cs="Calibri"/>
          <w:sz w:val="22"/>
          <w:szCs w:val="22"/>
        </w:rPr>
        <w:t xml:space="preserve"> </w:t>
      </w:r>
      <w:r w:rsidRPr="009B0F6E">
        <w:rPr>
          <w:rFonts w:ascii="Calibri" w:hAnsi="Calibri" w:cs="Calibri"/>
          <w:sz w:val="22"/>
          <w:szCs w:val="22"/>
        </w:rPr>
        <w:t>±</w:t>
      </w:r>
      <w:r w:rsidR="000A5F4C" w:rsidRPr="009B0F6E">
        <w:rPr>
          <w:rFonts w:ascii="Calibri" w:hAnsi="Calibri" w:cs="Calibri"/>
          <w:sz w:val="22"/>
          <w:szCs w:val="22"/>
        </w:rPr>
        <w:t xml:space="preserve"> </w:t>
      </w:r>
      <w:r w:rsidRPr="009B0F6E">
        <w:rPr>
          <w:rFonts w:ascii="Calibri" w:hAnsi="Calibri" w:cs="Calibri"/>
          <w:sz w:val="22"/>
          <w:szCs w:val="22"/>
        </w:rPr>
        <w:t>1.26 mm at 45 days, and no patient had a residual jet &gt;5 mm at 12 months; in addition, 90% of patients had no detectable peri-device leak on core-laboratory assessment at that time point; conversely, at 1 year,</w:t>
      </w:r>
      <w:r w:rsidR="00351D23" w:rsidRPr="009B0F6E">
        <w:rPr>
          <w:rFonts w:ascii="Calibri" w:hAnsi="Calibri" w:cs="Calibri"/>
          <w:sz w:val="22"/>
          <w:szCs w:val="22"/>
        </w:rPr>
        <w:t xml:space="preserve"> </w:t>
      </w:r>
      <w:r w:rsidRPr="009B0F6E">
        <w:rPr>
          <w:rFonts w:ascii="Calibri" w:hAnsi="Calibri" w:cs="Calibri"/>
          <w:sz w:val="22"/>
          <w:szCs w:val="22"/>
        </w:rPr>
        <w:t>the same finding was observed</w:t>
      </w:r>
      <w:r w:rsidR="00351D23" w:rsidRPr="009B0F6E">
        <w:rPr>
          <w:rFonts w:ascii="Calibri" w:hAnsi="Calibri" w:cs="Calibri"/>
          <w:sz w:val="22"/>
          <w:szCs w:val="22"/>
        </w:rPr>
        <w:t xml:space="preserve"> </w:t>
      </w:r>
      <w:r w:rsidRPr="009B0F6E">
        <w:rPr>
          <w:rFonts w:ascii="Calibri" w:hAnsi="Calibri" w:cs="Calibri"/>
          <w:sz w:val="22"/>
          <w:szCs w:val="22"/>
        </w:rPr>
        <w:t>in up to 40.9% and 32.1% of patients enrolled in the PROTECT AF and PREVAIL studies, respectively. This is noteworthy given that recent evidence suggests an increased stroke risk in patients with incomplete LAAC due to small (0 - 5 mm) PDLs.</w:t>
      </w:r>
      <w:r w:rsidR="00D12D68" w:rsidRPr="009B0F6E">
        <w:rPr>
          <w:rFonts w:ascii="Calibri" w:hAnsi="Calibri" w:cs="Calibri"/>
          <w:sz w:val="22"/>
          <w:szCs w:val="22"/>
          <w:vertAlign w:val="superscript"/>
        </w:rPr>
        <w:t>19</w:t>
      </w:r>
      <w:r w:rsidRPr="009B0F6E">
        <w:rPr>
          <w:rFonts w:ascii="Calibri" w:hAnsi="Calibri" w:cs="Calibri"/>
          <w:sz w:val="22"/>
          <w:szCs w:val="22"/>
          <w:vertAlign w:val="superscript"/>
        </w:rPr>
        <w:t>,2</w:t>
      </w:r>
      <w:r w:rsidR="00D12D68" w:rsidRPr="009B0F6E">
        <w:rPr>
          <w:rFonts w:ascii="Calibri" w:hAnsi="Calibri" w:cs="Calibri"/>
          <w:sz w:val="22"/>
          <w:szCs w:val="22"/>
          <w:vertAlign w:val="superscript"/>
        </w:rPr>
        <w:t>0</w:t>
      </w:r>
      <w:r w:rsidRPr="009B0F6E">
        <w:rPr>
          <w:rFonts w:ascii="Calibri" w:hAnsi="Calibri" w:cs="Calibri"/>
          <w:sz w:val="22"/>
          <w:szCs w:val="22"/>
        </w:rPr>
        <w:t xml:space="preserve"> At 12 months, the Kaplan–Meier–estimated incidence of all-cause mortality and any stroke was 6.6% and 2.6%, respectively, with no hemorrhagic strokes reported and a single systemic embolism (0.3%). Pericardial effusion requiring intervention occurred in 1.0% of patients over 12 months. Device-related thrombus (DRT) was detected in 7 patients within the first year, most frequently during scheduled follow-up TEE, and only 2 of these cases were associated with a clinically apparent embolic event. This rate </w:t>
      </w:r>
      <w:r w:rsidRPr="009B0F6E">
        <w:rPr>
          <w:rFonts w:ascii="Calibri" w:hAnsi="Calibri" w:cs="Calibri"/>
          <w:color w:val="333333"/>
          <w:sz w:val="22"/>
          <w:szCs w:val="22"/>
          <w:shd w:val="clear" w:color="auto" w:fill="FFFFFF"/>
        </w:rPr>
        <w:t>compares favorably with the 3.7% of patients in whom DRT was reported before.</w:t>
      </w:r>
      <w:r w:rsidRPr="009B0F6E">
        <w:rPr>
          <w:rFonts w:ascii="Calibri" w:hAnsi="Calibri" w:cs="Calibri"/>
          <w:sz w:val="22"/>
          <w:szCs w:val="22"/>
          <w:vertAlign w:val="superscript"/>
        </w:rPr>
        <w:t>2</w:t>
      </w:r>
      <w:r w:rsidR="00D12D68" w:rsidRPr="009B0F6E">
        <w:rPr>
          <w:rFonts w:ascii="Calibri" w:hAnsi="Calibri" w:cs="Calibri"/>
          <w:sz w:val="22"/>
          <w:szCs w:val="22"/>
          <w:vertAlign w:val="superscript"/>
        </w:rPr>
        <w:t>1</w:t>
      </w:r>
      <w:r w:rsidRPr="009B0F6E">
        <w:rPr>
          <w:rFonts w:ascii="Calibri" w:hAnsi="Calibri" w:cs="Calibri"/>
          <w:sz w:val="22"/>
          <w:szCs w:val="22"/>
        </w:rPr>
        <w:t xml:space="preserve"> </w:t>
      </w:r>
      <w:proofErr w:type="gramStart"/>
      <w:r w:rsidRPr="009B0F6E">
        <w:rPr>
          <w:rFonts w:ascii="Calibri" w:hAnsi="Calibri" w:cs="Calibri"/>
          <w:sz w:val="22"/>
          <w:szCs w:val="22"/>
        </w:rPr>
        <w:t>These</w:t>
      </w:r>
      <w:proofErr w:type="gramEnd"/>
      <w:r w:rsidRPr="009B0F6E">
        <w:rPr>
          <w:rFonts w:ascii="Calibri" w:hAnsi="Calibri" w:cs="Calibri"/>
          <w:sz w:val="22"/>
          <w:szCs w:val="22"/>
        </w:rPr>
        <w:t xml:space="preserve"> data established Watchman FLX as an effective device for achieving durable LAA closure with low rates of serious procedure- and device-related complications in a controlled trial setting.</w:t>
      </w:r>
    </w:p>
    <w:p w14:paraId="041ED1BE" w14:textId="77777777" w:rsidR="00EB1980" w:rsidRPr="009B0F6E" w:rsidRDefault="00EB1980" w:rsidP="003A7AD9">
      <w:pPr>
        <w:widowControl w:val="0"/>
        <w:jc w:val="both"/>
        <w:rPr>
          <w:rFonts w:ascii="Calibri" w:hAnsi="Calibri" w:cs="Calibri"/>
          <w:sz w:val="22"/>
          <w:szCs w:val="22"/>
        </w:rPr>
      </w:pPr>
    </w:p>
    <w:p w14:paraId="30483685" w14:textId="717426B4"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These results have been confirmed in routine practice by a sub-analysis of the LAAC registry (</w:t>
      </w:r>
      <w:r w:rsidRPr="009B0F6E">
        <w:rPr>
          <w:rFonts w:ascii="Calibri" w:hAnsi="Calibri" w:cs="Calibri"/>
          <w:color w:val="474747"/>
          <w:sz w:val="22"/>
          <w:szCs w:val="22"/>
          <w:shd w:val="clear" w:color="auto" w:fill="FFFFFF"/>
        </w:rPr>
        <w:t>Watchman FLX Device Surveillance Post Approval Analysis Plan - SURPASS</w:t>
      </w:r>
      <w:r w:rsidRPr="009B0F6E">
        <w:rPr>
          <w:rFonts w:ascii="Calibri" w:hAnsi="Calibri" w:cs="Calibri"/>
          <w:sz w:val="22"/>
          <w:szCs w:val="22"/>
        </w:rPr>
        <w:t>), which reported a 97.5% implantation success rate, very low rates of serious in-hospital complications, and excellent sealing performance: peri-device leak &gt;5 mm was almost absent, and approximately 99–100% of patients met the definition of effective closure (jet ≤5 mm) at early follow-up. At 1-year, all-cause mortality was around 8%, with any stroke in 1.5% and ischemic stroke in 1.2%, and major bleeding in about 6%, indicating that the safety and effectiveness observed in the trial are largely reproduced in a broad, unselected clinical population.</w:t>
      </w:r>
      <w:r w:rsidRPr="009B0F6E">
        <w:rPr>
          <w:rFonts w:ascii="Calibri" w:hAnsi="Calibri" w:cs="Calibri"/>
          <w:sz w:val="22"/>
          <w:szCs w:val="22"/>
          <w:vertAlign w:val="superscript"/>
        </w:rPr>
        <w:t>2</w:t>
      </w:r>
      <w:r w:rsidR="00D12D68" w:rsidRPr="009B0F6E">
        <w:rPr>
          <w:rFonts w:ascii="Calibri" w:hAnsi="Calibri" w:cs="Calibri"/>
          <w:sz w:val="22"/>
          <w:szCs w:val="22"/>
          <w:vertAlign w:val="superscript"/>
        </w:rPr>
        <w:t>2</w:t>
      </w:r>
      <w:r w:rsidRPr="009B0F6E">
        <w:rPr>
          <w:rFonts w:ascii="Calibri" w:hAnsi="Calibri" w:cs="Calibri"/>
          <w:sz w:val="22"/>
          <w:szCs w:val="22"/>
        </w:rPr>
        <w:t xml:space="preserve"> For these reasons, the Watchman FLX has effectively replaced the previous generation device as the preferred option for LAAC in current clinical practice. The Watchman FLX PRO, the latest-generation device in the Watchman, was designed to further reduce DRT through the use of a novel polymer coating that promotes rapid endothelialization.</w:t>
      </w:r>
    </w:p>
    <w:p w14:paraId="2D610D4A" w14:textId="77777777" w:rsidR="00EB1980" w:rsidRPr="009B0F6E" w:rsidRDefault="00EB1980" w:rsidP="003A7AD9">
      <w:pPr>
        <w:widowControl w:val="0"/>
        <w:jc w:val="both"/>
        <w:rPr>
          <w:rFonts w:ascii="Calibri" w:hAnsi="Calibri" w:cs="Calibri"/>
          <w:sz w:val="22"/>
          <w:szCs w:val="22"/>
        </w:rPr>
      </w:pPr>
    </w:p>
    <w:p w14:paraId="30483687" w14:textId="0FFDC4D3"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The evidence for Watchman FLX PRO currently consists of early, industry-sponsored registry data from the SURPASS Pro analysis of the NCDR LAAO Registry, with high procedural success (≈97%), a very low 7-day key safety endpoint rate (≈0.20%), and excellent sealing performance (≈88% complete seal and 98% clinically relevant closure ≤3 mm at 45 days), but only short-term follow-up and no randomized or long-term comparative data to date. Therefore, although FLX PRO shows promising early outcomes, its evidence base remains less mature than that of Watchman FLX.</w:t>
      </w:r>
      <w:r w:rsidRPr="009B0F6E">
        <w:rPr>
          <w:rFonts w:ascii="Calibri" w:hAnsi="Calibri" w:cs="Calibri"/>
          <w:sz w:val="22"/>
          <w:szCs w:val="22"/>
          <w:vertAlign w:val="superscript"/>
        </w:rPr>
        <w:t>2</w:t>
      </w:r>
      <w:r w:rsidR="00D12D68" w:rsidRPr="009B0F6E">
        <w:rPr>
          <w:rFonts w:ascii="Calibri" w:hAnsi="Calibri" w:cs="Calibri"/>
          <w:sz w:val="22"/>
          <w:szCs w:val="22"/>
          <w:vertAlign w:val="superscript"/>
        </w:rPr>
        <w:t>3</w:t>
      </w:r>
    </w:p>
    <w:p w14:paraId="7D5E2EC0" w14:textId="77777777" w:rsidR="00034C89" w:rsidRPr="009B0F6E" w:rsidRDefault="00034C89" w:rsidP="003A7AD9">
      <w:pPr>
        <w:widowControl w:val="0"/>
        <w:jc w:val="both"/>
        <w:rPr>
          <w:rFonts w:ascii="Calibri" w:hAnsi="Calibri" w:cs="Calibri"/>
          <w:sz w:val="22"/>
          <w:szCs w:val="22"/>
        </w:rPr>
      </w:pPr>
    </w:p>
    <w:p w14:paraId="30483688" w14:textId="3FED7558" w:rsidR="00DD3127" w:rsidRPr="001E0E29" w:rsidRDefault="00C1376C" w:rsidP="003A7AD9">
      <w:pPr>
        <w:widowControl w:val="0"/>
        <w:jc w:val="both"/>
        <w:rPr>
          <w:rFonts w:ascii="Calibri" w:hAnsi="Calibri" w:cs="Calibri"/>
          <w:b/>
          <w:bCs/>
          <w:i/>
          <w:sz w:val="22"/>
          <w:szCs w:val="22"/>
        </w:rPr>
      </w:pPr>
      <w:r w:rsidRPr="001E0E29">
        <w:rPr>
          <w:rFonts w:ascii="Calibri" w:hAnsi="Calibri" w:cs="Calibri"/>
          <w:b/>
          <w:bCs/>
          <w:i/>
          <w:sz w:val="22"/>
          <w:szCs w:val="22"/>
        </w:rPr>
        <w:t>Amplatzer family: ACP and Amulet</w:t>
      </w:r>
    </w:p>
    <w:p w14:paraId="7F478A40" w14:textId="6EDE1DD8" w:rsidR="00EB1980" w:rsidRPr="001E0E29" w:rsidRDefault="00C1376C" w:rsidP="003A7AD9">
      <w:pPr>
        <w:widowControl w:val="0"/>
        <w:jc w:val="both"/>
        <w:rPr>
          <w:rFonts w:ascii="Calibri" w:hAnsi="Calibri" w:cs="Calibri"/>
          <w:sz w:val="22"/>
          <w:szCs w:val="22"/>
        </w:rPr>
      </w:pPr>
      <w:r w:rsidRPr="009B0F6E">
        <w:rPr>
          <w:rFonts w:ascii="Calibri" w:hAnsi="Calibri" w:cs="Calibri"/>
          <w:sz w:val="22"/>
          <w:szCs w:val="22"/>
        </w:rPr>
        <w:t>In parallel to the Watchman series, the</w:t>
      </w:r>
      <w:r w:rsidR="00351D23" w:rsidRPr="009B0F6E">
        <w:rPr>
          <w:rFonts w:ascii="Calibri" w:hAnsi="Calibri" w:cs="Calibri"/>
          <w:sz w:val="22"/>
          <w:szCs w:val="22"/>
        </w:rPr>
        <w:t xml:space="preserve"> </w:t>
      </w:r>
      <w:r w:rsidRPr="009B0F6E">
        <w:rPr>
          <w:rFonts w:ascii="Calibri" w:hAnsi="Calibri" w:cs="Calibri"/>
          <w:sz w:val="22"/>
          <w:szCs w:val="22"/>
        </w:rPr>
        <w:t>Amplatzer family</w:t>
      </w:r>
      <w:r w:rsidR="00351D23" w:rsidRPr="009B0F6E">
        <w:rPr>
          <w:rFonts w:ascii="Calibri" w:hAnsi="Calibri" w:cs="Calibri"/>
          <w:sz w:val="22"/>
          <w:szCs w:val="22"/>
        </w:rPr>
        <w:t xml:space="preserve"> </w:t>
      </w:r>
      <w:r w:rsidRPr="009B0F6E">
        <w:rPr>
          <w:rFonts w:ascii="Calibri" w:hAnsi="Calibri" w:cs="Calibri"/>
          <w:sz w:val="22"/>
          <w:szCs w:val="22"/>
        </w:rPr>
        <w:t xml:space="preserve">of LAAC devices (originally developed by St. Jude Medical and later Abbott), offered a distinct dual-seal design for LAA occlusion. </w:t>
      </w:r>
      <w:r w:rsidRPr="009B0F6E">
        <w:rPr>
          <w:rFonts w:ascii="Calibri" w:hAnsi="Calibri" w:cs="Calibri"/>
          <w:sz w:val="22"/>
          <w:szCs w:val="22"/>
          <w:shd w:val="clear" w:color="auto" w:fill="FFFFFF"/>
        </w:rPr>
        <w:t>The first-generation of Amplatzer devices included the Amplatzer Cardiac Plug (ACP), a self-expanding nitinol mesh structure featuring two polyester patches, one attached to the distal lobe and the other to the proximal disc, connected by an articulated waist. The lobe was typically implanted approximately 10 mm inside the LAA body and anchored by a variable pair of stabilizing wires, depending on the device size. Notably, unlike the Watchman device, the ACP did not require OAC following implantation. Instead, patients were prescribed dual antiplatelet therapy (DAPT) for 1 to 6 months, followed by single or no antiplatelet therapy.</w:t>
      </w:r>
      <w:r w:rsidRPr="009B0F6E">
        <w:rPr>
          <w:rFonts w:ascii="Calibri" w:hAnsi="Calibri" w:cs="Calibri"/>
          <w:sz w:val="22"/>
          <w:szCs w:val="22"/>
        </w:rPr>
        <w:t xml:space="preserve"> DRT rates were slightly higher than with Watchman (4.4% </w:t>
      </w:r>
      <w:r w:rsidRPr="009B0F6E">
        <w:rPr>
          <w:rFonts w:ascii="Calibri" w:hAnsi="Calibri" w:cs="Calibri"/>
          <w:sz w:val="22"/>
          <w:szCs w:val="22"/>
          <w:shd w:val="clear" w:color="auto" w:fill="FFFFFF"/>
        </w:rPr>
        <w:t>against the 3.86% reported from a pooled analysis of the PROTECT AF, PREVAIL, CAP 1 &amp; 2 registries</w:t>
      </w:r>
      <w:r w:rsidRPr="009B0F6E">
        <w:rPr>
          <w:rFonts w:ascii="Calibri" w:hAnsi="Calibri" w:cs="Calibri"/>
          <w:sz w:val="22"/>
          <w:szCs w:val="22"/>
        </w:rPr>
        <w:t>) but the simplified antithrombotic regimen made ACP attractive for patients with contraindications to OAC.</w:t>
      </w:r>
      <w:r w:rsidRPr="009B0F6E">
        <w:rPr>
          <w:rFonts w:ascii="Calibri" w:hAnsi="Calibri" w:cs="Calibri"/>
          <w:sz w:val="22"/>
          <w:szCs w:val="22"/>
          <w:vertAlign w:val="superscript"/>
        </w:rPr>
        <w:t>2</w:t>
      </w:r>
      <w:r w:rsidR="00D12D68" w:rsidRPr="009B0F6E">
        <w:rPr>
          <w:rFonts w:ascii="Calibri" w:hAnsi="Calibri" w:cs="Calibri"/>
          <w:sz w:val="22"/>
          <w:szCs w:val="22"/>
          <w:vertAlign w:val="superscript"/>
        </w:rPr>
        <w:t>1</w:t>
      </w:r>
      <w:proofErr w:type="gramStart"/>
      <w:r w:rsidRPr="009B0F6E">
        <w:rPr>
          <w:rFonts w:ascii="Calibri" w:hAnsi="Calibri" w:cs="Calibri"/>
          <w:sz w:val="22"/>
          <w:szCs w:val="22"/>
          <w:vertAlign w:val="superscript"/>
        </w:rPr>
        <w:t>,2</w:t>
      </w:r>
      <w:r w:rsidR="00D12D68" w:rsidRPr="009B0F6E">
        <w:rPr>
          <w:rFonts w:ascii="Calibri" w:hAnsi="Calibri" w:cs="Calibri"/>
          <w:sz w:val="22"/>
          <w:szCs w:val="22"/>
          <w:vertAlign w:val="superscript"/>
        </w:rPr>
        <w:t>4</w:t>
      </w:r>
      <w:proofErr w:type="gramEnd"/>
    </w:p>
    <w:p w14:paraId="30483689" w14:textId="5A2BE98B" w:rsidR="00DD3127" w:rsidRPr="009B0F6E" w:rsidRDefault="00DD3127" w:rsidP="003A7AD9">
      <w:pPr>
        <w:widowControl w:val="0"/>
        <w:jc w:val="both"/>
        <w:rPr>
          <w:rFonts w:ascii="Calibri" w:hAnsi="Calibri" w:cs="Calibri"/>
          <w:sz w:val="22"/>
          <w:szCs w:val="22"/>
          <w:shd w:val="clear" w:color="auto" w:fill="FFFFFF"/>
        </w:rPr>
      </w:pPr>
    </w:p>
    <w:p w14:paraId="7FE7AA32" w14:textId="4B0847E6" w:rsidR="00EB1980" w:rsidRPr="001E0E29" w:rsidRDefault="00C1376C" w:rsidP="003A7AD9">
      <w:pPr>
        <w:widowControl w:val="0"/>
        <w:jc w:val="both"/>
        <w:rPr>
          <w:rFonts w:ascii="Calibri" w:hAnsi="Calibri" w:cs="Calibri"/>
          <w:sz w:val="22"/>
          <w:szCs w:val="22"/>
        </w:rPr>
      </w:pPr>
      <w:r w:rsidRPr="009B0F6E">
        <w:rPr>
          <w:rFonts w:ascii="Calibri" w:hAnsi="Calibri" w:cs="Calibri"/>
          <w:sz w:val="22"/>
          <w:szCs w:val="22"/>
          <w:shd w:val="clear" w:color="auto" w:fill="FFFFFF"/>
        </w:rPr>
        <w:t xml:space="preserve">The first-generation Amplatzer devices were discontinued following the release of the second-generation model, the ACP2, commercially known as Amplatzer Amulet. The design of Amulet has been improved in comparison to its predecessor to address issues such as PDLs, device embolization, and complex LAA anatomies. These changes included </w:t>
      </w:r>
      <w:r w:rsidRPr="009B0F6E">
        <w:rPr>
          <w:rFonts w:ascii="Calibri" w:hAnsi="Calibri" w:cs="Calibri"/>
          <w:sz w:val="22"/>
          <w:szCs w:val="22"/>
        </w:rPr>
        <w:t>1) a</w:t>
      </w:r>
      <w:r w:rsidR="00351D23" w:rsidRPr="009B0F6E">
        <w:rPr>
          <w:rFonts w:ascii="Calibri" w:hAnsi="Calibri" w:cs="Calibri"/>
          <w:sz w:val="22"/>
          <w:szCs w:val="22"/>
        </w:rPr>
        <w:t xml:space="preserve"> </w:t>
      </w:r>
      <w:r w:rsidRPr="009B0F6E">
        <w:rPr>
          <w:rFonts w:ascii="Calibri" w:hAnsi="Calibri" w:cs="Calibri"/>
          <w:sz w:val="22"/>
          <w:szCs w:val="22"/>
        </w:rPr>
        <w:t>longer distal lobe</w:t>
      </w:r>
      <w:r w:rsidR="00351D23" w:rsidRPr="009B0F6E">
        <w:rPr>
          <w:rFonts w:ascii="Calibri" w:hAnsi="Calibri" w:cs="Calibri"/>
          <w:sz w:val="22"/>
          <w:szCs w:val="22"/>
        </w:rPr>
        <w:t xml:space="preserve"> </w:t>
      </w:r>
      <w:r w:rsidRPr="009B0F6E">
        <w:rPr>
          <w:rFonts w:ascii="Calibri" w:hAnsi="Calibri" w:cs="Calibri"/>
          <w:sz w:val="22"/>
          <w:szCs w:val="22"/>
        </w:rPr>
        <w:t>for deeper anchoring, 2) an increased number and stiffness of</w:t>
      </w:r>
      <w:r w:rsidR="00351D23" w:rsidRPr="009B0F6E">
        <w:rPr>
          <w:rFonts w:ascii="Calibri" w:hAnsi="Calibri" w:cs="Calibri"/>
          <w:sz w:val="22"/>
          <w:szCs w:val="22"/>
        </w:rPr>
        <w:t xml:space="preserve"> </w:t>
      </w:r>
      <w:r w:rsidRPr="009B0F6E">
        <w:rPr>
          <w:rFonts w:ascii="Calibri" w:hAnsi="Calibri" w:cs="Calibri"/>
          <w:sz w:val="22"/>
          <w:szCs w:val="22"/>
        </w:rPr>
        <w:t>anchoring hooks, 3) a wider disc and lobe diameters</w:t>
      </w:r>
      <w:r w:rsidR="00351D23" w:rsidRPr="009B0F6E">
        <w:rPr>
          <w:rFonts w:ascii="Calibri" w:hAnsi="Calibri" w:cs="Calibri"/>
          <w:sz w:val="22"/>
          <w:szCs w:val="22"/>
        </w:rPr>
        <w:t xml:space="preserve"> </w:t>
      </w:r>
      <w:r w:rsidRPr="009B0F6E">
        <w:rPr>
          <w:rFonts w:ascii="Calibri" w:hAnsi="Calibri" w:cs="Calibri"/>
          <w:sz w:val="22"/>
          <w:szCs w:val="22"/>
        </w:rPr>
        <w:t>to accommodate diverse anatomies, and 4) a pre-loaded delivery system</w:t>
      </w:r>
      <w:r w:rsidR="00351D23" w:rsidRPr="009B0F6E">
        <w:rPr>
          <w:rFonts w:ascii="Calibri" w:hAnsi="Calibri" w:cs="Calibri"/>
          <w:sz w:val="22"/>
          <w:szCs w:val="22"/>
        </w:rPr>
        <w:t xml:space="preserve"> </w:t>
      </w:r>
      <w:r w:rsidRPr="009B0F6E">
        <w:rPr>
          <w:rFonts w:ascii="Calibri" w:hAnsi="Calibri" w:cs="Calibri"/>
          <w:sz w:val="22"/>
          <w:szCs w:val="22"/>
        </w:rPr>
        <w:t>for faster, more controlled deployment.</w:t>
      </w:r>
      <w:r w:rsidRPr="009B0F6E">
        <w:rPr>
          <w:rFonts w:ascii="Calibri" w:hAnsi="Calibri" w:cs="Calibri"/>
          <w:sz w:val="22"/>
          <w:szCs w:val="22"/>
          <w:vertAlign w:val="superscript"/>
        </w:rPr>
        <w:t>2</w:t>
      </w:r>
      <w:r w:rsidR="00D12D68" w:rsidRPr="009B0F6E">
        <w:rPr>
          <w:rFonts w:ascii="Calibri" w:hAnsi="Calibri" w:cs="Calibri"/>
          <w:sz w:val="22"/>
          <w:szCs w:val="22"/>
          <w:vertAlign w:val="superscript"/>
        </w:rPr>
        <w:t>5</w:t>
      </w:r>
    </w:p>
    <w:p w14:paraId="3048368A" w14:textId="17BB2BFB" w:rsidR="00DD3127" w:rsidRPr="009B0F6E" w:rsidRDefault="00DD3127" w:rsidP="003A7AD9">
      <w:pPr>
        <w:widowControl w:val="0"/>
        <w:jc w:val="both"/>
        <w:rPr>
          <w:rFonts w:ascii="Calibri" w:hAnsi="Calibri" w:cs="Calibri"/>
          <w:sz w:val="22"/>
          <w:szCs w:val="22"/>
          <w:shd w:val="clear" w:color="auto" w:fill="FFFFFF"/>
        </w:rPr>
      </w:pPr>
    </w:p>
    <w:p w14:paraId="3048368B" w14:textId="77777777" w:rsidR="00DD3127" w:rsidRPr="009B0F6E" w:rsidRDefault="00C1376C" w:rsidP="003A7AD9">
      <w:pPr>
        <w:widowControl w:val="0"/>
        <w:jc w:val="both"/>
        <w:rPr>
          <w:rFonts w:ascii="Calibri" w:hAnsi="Calibri" w:cs="Calibri"/>
          <w:sz w:val="22"/>
          <w:szCs w:val="22"/>
          <w:shd w:val="clear" w:color="auto" w:fill="FFFFFF"/>
        </w:rPr>
      </w:pPr>
      <w:r w:rsidRPr="009B0F6E">
        <w:rPr>
          <w:rFonts w:ascii="Calibri" w:hAnsi="Calibri" w:cs="Calibri"/>
          <w:sz w:val="22"/>
          <w:szCs w:val="22"/>
          <w:shd w:val="clear" w:color="auto" w:fill="FFFFFF"/>
        </w:rPr>
        <w:t>A new iteration of the Amulet device (Amulet 2 / Amplatzer 360) is expected to be even safer. Some of the improvements include an atraumatic distal end and a reduced length of the proximal anchoring hooks, with the aim of reducing the incidence of pericardial effusion, tamponade, and collateral vessel perforations. The safety and efficacy of this newer generation of Amplatzer device will be explored in the prospective VERITAS study (NCT06707688).</w:t>
      </w:r>
    </w:p>
    <w:p w14:paraId="73D7C4BB" w14:textId="77777777" w:rsidR="00034C89" w:rsidRPr="009B0F6E" w:rsidRDefault="00034C89" w:rsidP="003A7AD9">
      <w:pPr>
        <w:widowControl w:val="0"/>
        <w:jc w:val="both"/>
        <w:rPr>
          <w:rFonts w:ascii="Calibri" w:hAnsi="Calibri" w:cs="Calibri"/>
          <w:sz w:val="22"/>
          <w:szCs w:val="22"/>
          <w:shd w:val="clear" w:color="auto" w:fill="FFFFFF"/>
        </w:rPr>
      </w:pPr>
    </w:p>
    <w:p w14:paraId="3048368C" w14:textId="49489C4A" w:rsidR="00DD3127" w:rsidRPr="001E0E29" w:rsidRDefault="00C1376C" w:rsidP="003A7AD9">
      <w:pPr>
        <w:widowControl w:val="0"/>
        <w:jc w:val="both"/>
        <w:rPr>
          <w:rFonts w:ascii="Calibri" w:hAnsi="Calibri" w:cs="Calibri"/>
          <w:b/>
          <w:bCs/>
          <w:i/>
          <w:sz w:val="22"/>
          <w:szCs w:val="22"/>
        </w:rPr>
      </w:pPr>
      <w:r w:rsidRPr="001E0E29">
        <w:rPr>
          <w:rFonts w:ascii="Calibri" w:hAnsi="Calibri" w:cs="Calibri"/>
          <w:b/>
          <w:bCs/>
          <w:i/>
          <w:sz w:val="22"/>
          <w:szCs w:val="22"/>
        </w:rPr>
        <w:t>Comparison between devices: AMULET-IDE trial and SWISS-APERO trial</w:t>
      </w:r>
    </w:p>
    <w:p w14:paraId="3048368D" w14:textId="7FF0FAAA" w:rsidR="00DD3127" w:rsidRPr="009B0F6E" w:rsidRDefault="00C1376C" w:rsidP="003A7AD9">
      <w:pPr>
        <w:pStyle w:val="NormalWeb"/>
        <w:widowControl w:val="0"/>
        <w:jc w:val="both"/>
        <w:rPr>
          <w:rFonts w:ascii="Calibri" w:hAnsi="Calibri" w:cs="Calibri"/>
          <w:sz w:val="22"/>
          <w:szCs w:val="22"/>
          <w:lang w:val="en-US"/>
        </w:rPr>
      </w:pPr>
      <w:r w:rsidRPr="009B0F6E">
        <w:rPr>
          <w:rFonts w:ascii="Calibri" w:hAnsi="Calibri" w:cs="Calibri"/>
          <w:sz w:val="22"/>
          <w:szCs w:val="22"/>
          <w:shd w:val="clear" w:color="auto" w:fill="FFFFFF"/>
          <w:lang w:val="en-US"/>
        </w:rPr>
        <w:t>The AMULET IDE (</w:t>
      </w:r>
      <w:r w:rsidRPr="009B0F6E">
        <w:rPr>
          <w:rFonts w:ascii="Calibri" w:hAnsi="Calibri" w:cs="Calibri"/>
          <w:color w:val="333333"/>
          <w:sz w:val="22"/>
          <w:szCs w:val="22"/>
          <w:shd w:val="clear" w:color="auto" w:fill="FFFFFF"/>
          <w:lang w:val="en-US"/>
        </w:rPr>
        <w:t>AMPLATZER Amulet Left Atrial Appendage Occluder Investigational Device Exemption [IDE] Trial</w:t>
      </w:r>
      <w:r w:rsidRPr="009B0F6E">
        <w:rPr>
          <w:rFonts w:ascii="Calibri" w:hAnsi="Calibri" w:cs="Calibri"/>
          <w:sz w:val="22"/>
          <w:szCs w:val="22"/>
          <w:shd w:val="clear" w:color="auto" w:fill="FFFFFF"/>
          <w:lang w:val="en-US"/>
        </w:rPr>
        <w:t xml:space="preserve">) provided the first RCT comparing the efficacy and safety outcomes between Watchman and Amplatzer devices. In terms of procedure-related efficacy and safety, Amulet had a higher rate of </w:t>
      </w:r>
      <w:r w:rsidRPr="009B0F6E">
        <w:rPr>
          <w:rFonts w:ascii="Calibri" w:hAnsi="Calibri" w:cs="Calibri"/>
          <w:color w:val="333333"/>
          <w:sz w:val="22"/>
          <w:szCs w:val="22"/>
          <w:shd w:val="clear" w:color="auto" w:fill="FFFFFF"/>
          <w:lang w:val="en-US"/>
        </w:rPr>
        <w:t xml:space="preserve">successful device-based LAAC compared with that of Watchman 2.5 (98.9% vs 96.8% </w:t>
      </w:r>
      <w:r w:rsidRPr="009B0F6E">
        <w:rPr>
          <w:rFonts w:ascii="Calibri" w:hAnsi="Calibri" w:cs="Calibri"/>
          <w:color w:val="333333"/>
          <w:sz w:val="22"/>
          <w:szCs w:val="22"/>
          <w:lang w:val="en-US"/>
        </w:rPr>
        <w:t>P</w:t>
      </w:r>
      <w:r w:rsidRPr="009B0F6E">
        <w:rPr>
          <w:rFonts w:ascii="Calibri" w:hAnsi="Calibri" w:cs="Calibri"/>
          <w:color w:val="333333"/>
          <w:sz w:val="22"/>
          <w:szCs w:val="22"/>
          <w:shd w:val="clear" w:color="auto" w:fill="FFFFFF"/>
          <w:lang w:val="en-US"/>
        </w:rPr>
        <w:t>&lt;0.001 for non-inferiority,</w:t>
      </w:r>
      <w:r w:rsidR="00351D23" w:rsidRPr="009B0F6E">
        <w:rPr>
          <w:rFonts w:ascii="Calibri" w:hAnsi="Calibri" w:cs="Calibri"/>
          <w:color w:val="333333"/>
          <w:sz w:val="22"/>
          <w:szCs w:val="22"/>
          <w:shd w:val="clear" w:color="auto" w:fill="FFFFFF"/>
          <w:lang w:val="en-US"/>
        </w:rPr>
        <w:t xml:space="preserve"> </w:t>
      </w:r>
      <w:r w:rsidRPr="009B0F6E">
        <w:rPr>
          <w:rFonts w:ascii="Calibri" w:hAnsi="Calibri" w:cs="Calibri"/>
          <w:color w:val="333333"/>
          <w:sz w:val="22"/>
          <w:szCs w:val="22"/>
          <w:lang w:val="en-US"/>
        </w:rPr>
        <w:t>P</w:t>
      </w:r>
      <w:r w:rsidR="004F0C99" w:rsidRPr="009B0F6E">
        <w:rPr>
          <w:rFonts w:ascii="Calibri" w:hAnsi="Calibri" w:cs="Calibri"/>
          <w:color w:val="333333"/>
          <w:sz w:val="22"/>
          <w:szCs w:val="22"/>
          <w:lang w:val="en-US"/>
        </w:rPr>
        <w:t xml:space="preserve"> </w:t>
      </w:r>
      <w:r w:rsidRPr="009B0F6E">
        <w:rPr>
          <w:rFonts w:ascii="Calibri" w:hAnsi="Calibri" w:cs="Calibri"/>
          <w:color w:val="333333"/>
          <w:sz w:val="22"/>
          <w:szCs w:val="22"/>
          <w:shd w:val="clear" w:color="auto" w:fill="FFFFFF"/>
          <w:lang w:val="en-US"/>
        </w:rPr>
        <w:t>=</w:t>
      </w:r>
      <w:r w:rsidR="004F0C99" w:rsidRPr="009B0F6E">
        <w:rPr>
          <w:rFonts w:ascii="Calibri" w:hAnsi="Calibri" w:cs="Calibri"/>
          <w:color w:val="333333"/>
          <w:sz w:val="22"/>
          <w:szCs w:val="22"/>
          <w:shd w:val="clear" w:color="auto" w:fill="FFFFFF"/>
          <w:lang w:val="en-US"/>
        </w:rPr>
        <w:t xml:space="preserve"> </w:t>
      </w:r>
      <w:r w:rsidRPr="009B0F6E">
        <w:rPr>
          <w:rFonts w:ascii="Calibri" w:hAnsi="Calibri" w:cs="Calibri"/>
          <w:color w:val="333333"/>
          <w:sz w:val="22"/>
          <w:szCs w:val="22"/>
          <w:shd w:val="clear" w:color="auto" w:fill="FFFFFF"/>
          <w:lang w:val="en-US"/>
        </w:rPr>
        <w:t>0.003 for superiority) with complete occlusion (defined as no residual jet around the device) achieved in 63% of Amulet group vs. 43 % in the Watchman 2.5 group. Conversely, procedure-related complications were higher for Amulet (4.5% vs 2.5%), with more frequent pericardial effusions and device embolization. Conversely, in a prospective observational study using Amulet, the reported prevalence for device embolization and cardiac perforation reported were as low as 0.2% and 1.3%, respectively.</w:t>
      </w:r>
      <w:r w:rsidRPr="009B0F6E">
        <w:rPr>
          <w:rFonts w:ascii="Calibri" w:hAnsi="Calibri" w:cs="Calibri"/>
          <w:sz w:val="22"/>
          <w:szCs w:val="22"/>
          <w:vertAlign w:val="superscript"/>
          <w:lang w:val="en-US"/>
        </w:rPr>
        <w:t>2</w:t>
      </w:r>
      <w:r w:rsidR="00D12D68" w:rsidRPr="009B0F6E">
        <w:rPr>
          <w:rFonts w:ascii="Calibri" w:hAnsi="Calibri" w:cs="Calibri"/>
          <w:sz w:val="22"/>
          <w:szCs w:val="22"/>
          <w:vertAlign w:val="superscript"/>
          <w:lang w:val="en-US"/>
        </w:rPr>
        <w:t>6</w:t>
      </w:r>
      <w:r w:rsidRPr="009B0F6E">
        <w:rPr>
          <w:rFonts w:ascii="Calibri" w:hAnsi="Calibri" w:cs="Calibri"/>
          <w:color w:val="333333"/>
          <w:sz w:val="22"/>
          <w:szCs w:val="22"/>
          <w:shd w:val="clear" w:color="auto" w:fill="FFFFFF"/>
          <w:lang w:val="en-US"/>
        </w:rPr>
        <w:t xml:space="preserve"> </w:t>
      </w:r>
      <w:proofErr w:type="gramStart"/>
      <w:r w:rsidRPr="009B0F6E">
        <w:rPr>
          <w:rFonts w:ascii="Calibri" w:hAnsi="Calibri" w:cs="Calibri"/>
          <w:color w:val="333333"/>
          <w:sz w:val="22"/>
          <w:szCs w:val="22"/>
          <w:shd w:val="clear" w:color="auto" w:fill="FFFFFF"/>
          <w:lang w:val="en-US"/>
        </w:rPr>
        <w:t>This</w:t>
      </w:r>
      <w:proofErr w:type="gramEnd"/>
      <w:r w:rsidRPr="009B0F6E">
        <w:rPr>
          <w:rFonts w:ascii="Calibri" w:hAnsi="Calibri" w:cs="Calibri"/>
          <w:color w:val="333333"/>
          <w:sz w:val="22"/>
          <w:szCs w:val="22"/>
          <w:shd w:val="clear" w:color="auto" w:fill="FFFFFF"/>
          <w:lang w:val="en-US"/>
        </w:rPr>
        <w:t xml:space="preserve"> mismatch was mainly attributed by the investigators to the fact that the operators who took part to the Amulet IDE trial were from US sites with no previous Amulet experience. Furthermore, the prevalence of pericardial effusion was higher among patients receiving Amulet who were discharged on OACs. The difference may have been driven by the intrinsic higher bleeding risk of the Amulet group. The less intensive antithrombotic therapy required for LAAC with Amulet in real world practice may mitigate the risk of late pericardial effusions observed in the AMULET IDE study. Notably, even though patients enrolled in the Amulet cohort were less likely to be on OACs, DRT rates were similar between groups (3.3% in Amulet versus 4.5% in Watchman). Both devices exhibited comparable ischemic stroke, SE, and cardiovascular death (CVD) rates (P&lt; 0.001 for non-inferiority).</w:t>
      </w:r>
      <w:r w:rsidRPr="009B0F6E">
        <w:rPr>
          <w:rFonts w:ascii="Calibri" w:hAnsi="Calibri" w:cs="Calibri"/>
          <w:sz w:val="22"/>
          <w:szCs w:val="22"/>
          <w:vertAlign w:val="superscript"/>
          <w:lang w:val="en-US"/>
        </w:rPr>
        <w:t>2</w:t>
      </w:r>
      <w:r w:rsidR="00D12D68" w:rsidRPr="009B0F6E">
        <w:rPr>
          <w:rFonts w:ascii="Calibri" w:hAnsi="Calibri" w:cs="Calibri"/>
          <w:sz w:val="22"/>
          <w:szCs w:val="22"/>
          <w:vertAlign w:val="superscript"/>
          <w:lang w:val="en-US"/>
        </w:rPr>
        <w:t>7</w:t>
      </w:r>
      <w:r w:rsidRPr="009B0F6E">
        <w:rPr>
          <w:rFonts w:ascii="Calibri" w:hAnsi="Calibri" w:cs="Calibri"/>
          <w:color w:val="333333"/>
          <w:sz w:val="22"/>
          <w:szCs w:val="22"/>
          <w:shd w:val="clear" w:color="auto" w:fill="FFFFFF"/>
          <w:lang w:val="en-US"/>
        </w:rPr>
        <w:t xml:space="preserve"> At the long-term 5 year outcome analysis, t</w:t>
      </w:r>
      <w:r w:rsidRPr="009B0F6E">
        <w:rPr>
          <w:rFonts w:ascii="Calibri" w:hAnsi="Calibri" w:cs="Calibri"/>
          <w:color w:val="1F1F1F"/>
          <w:sz w:val="22"/>
          <w:szCs w:val="22"/>
          <w:lang w:val="en-US"/>
        </w:rPr>
        <w:t>here were no differences observed between the two devices for 1) ischemic stroke or SE 2) all-stroke, SE, or CVD 3) major bleeding, 4) all-cause death and 5) cardiovascular death. Interestingly, both arms had an annual ischemic stroke rate of 1.6%, 78% lower than the annual stroke risk as predicted by the CHA</w:t>
      </w:r>
      <w:r w:rsidRPr="009B0F6E">
        <w:rPr>
          <w:rFonts w:ascii="Calibri" w:hAnsi="Calibri" w:cs="Calibri"/>
          <w:color w:val="1F1F1F"/>
          <w:sz w:val="22"/>
          <w:szCs w:val="22"/>
          <w:vertAlign w:val="subscript"/>
          <w:lang w:val="en-US"/>
        </w:rPr>
        <w:t>2</w:t>
      </w:r>
      <w:r w:rsidRPr="009B0F6E">
        <w:rPr>
          <w:rFonts w:ascii="Calibri" w:hAnsi="Calibri" w:cs="Calibri"/>
          <w:color w:val="1F1F1F"/>
          <w:sz w:val="22"/>
          <w:szCs w:val="22"/>
          <w:lang w:val="en-US"/>
        </w:rPr>
        <w:t>DS</w:t>
      </w:r>
      <w:r w:rsidRPr="009B0F6E">
        <w:rPr>
          <w:rFonts w:ascii="Calibri" w:hAnsi="Calibri" w:cs="Calibri"/>
          <w:color w:val="1F1F1F"/>
          <w:sz w:val="22"/>
          <w:szCs w:val="22"/>
          <w:vertAlign w:val="subscript"/>
          <w:lang w:val="en-US"/>
        </w:rPr>
        <w:t>2</w:t>
      </w:r>
      <w:r w:rsidRPr="009B0F6E">
        <w:rPr>
          <w:rFonts w:ascii="Calibri" w:hAnsi="Calibri" w:cs="Calibri"/>
          <w:color w:val="1F1F1F"/>
          <w:sz w:val="22"/>
          <w:szCs w:val="22"/>
          <w:lang w:val="en-US"/>
        </w:rPr>
        <w:t>-VASc score. It was also notable that, a</w:t>
      </w:r>
      <w:r w:rsidRPr="009B0F6E">
        <w:rPr>
          <w:rFonts w:ascii="Calibri" w:hAnsi="Calibri" w:cs="Calibri"/>
          <w:sz w:val="22"/>
          <w:szCs w:val="22"/>
          <w:lang w:val="en-US"/>
        </w:rPr>
        <w:t>lthough the incidence of stroke was similar in both groups in the Amulet IDE study, there were more fatal or disabling strokes among Watchman 2.5 recipients compared with Amulet recipients (P</w:t>
      </w:r>
      <w:r w:rsidR="00351D23" w:rsidRPr="009B0F6E">
        <w:rPr>
          <w:rFonts w:ascii="Calibri" w:hAnsi="Calibri" w:cs="Calibri"/>
          <w:sz w:val="22"/>
          <w:szCs w:val="22"/>
          <w:lang w:val="en-US"/>
        </w:rPr>
        <w:t xml:space="preserve"> </w:t>
      </w:r>
      <w:r w:rsidRPr="009B0F6E">
        <w:rPr>
          <w:rFonts w:ascii="Calibri" w:hAnsi="Calibri" w:cs="Calibri"/>
          <w:sz w:val="22"/>
          <w:szCs w:val="22"/>
          <w:lang w:val="en-US"/>
        </w:rPr>
        <w:t>=</w:t>
      </w:r>
      <w:r w:rsidR="00351D23" w:rsidRPr="009B0F6E">
        <w:rPr>
          <w:rFonts w:ascii="Calibri" w:hAnsi="Calibri" w:cs="Calibri"/>
          <w:sz w:val="22"/>
          <w:szCs w:val="22"/>
          <w:lang w:val="en-US"/>
        </w:rPr>
        <w:t xml:space="preserve"> </w:t>
      </w:r>
      <w:r w:rsidRPr="009B0F6E">
        <w:rPr>
          <w:rFonts w:ascii="Calibri" w:hAnsi="Calibri" w:cs="Calibri"/>
          <w:sz w:val="22"/>
          <w:szCs w:val="22"/>
          <w:lang w:val="en-US"/>
        </w:rPr>
        <w:t>0.03). The investigators suggested that a potential cause may have been the higher prevalence of DRT and PDL among Watchman 2.5 patients with stroke compared with that of Amulet patients with stroke.</w:t>
      </w:r>
      <w:r w:rsidRPr="009B0F6E">
        <w:rPr>
          <w:rFonts w:ascii="Calibri" w:hAnsi="Calibri" w:cs="Calibri"/>
          <w:sz w:val="22"/>
          <w:szCs w:val="22"/>
          <w:vertAlign w:val="superscript"/>
          <w:lang w:val="en-US"/>
        </w:rPr>
        <w:t>2</w:t>
      </w:r>
      <w:r w:rsidR="00D12D68" w:rsidRPr="009B0F6E">
        <w:rPr>
          <w:rFonts w:ascii="Calibri" w:hAnsi="Calibri" w:cs="Calibri"/>
          <w:sz w:val="22"/>
          <w:szCs w:val="22"/>
          <w:vertAlign w:val="superscript"/>
          <w:lang w:val="en-US"/>
        </w:rPr>
        <w:t>8</w:t>
      </w:r>
      <w:r w:rsidRPr="009B0F6E">
        <w:rPr>
          <w:rFonts w:ascii="Calibri" w:hAnsi="Calibri" w:cs="Calibri"/>
          <w:sz w:val="22"/>
          <w:szCs w:val="22"/>
          <w:lang w:val="en-US"/>
        </w:rPr>
        <w:t xml:space="preserve"> </w:t>
      </w:r>
      <w:proofErr w:type="gramStart"/>
      <w:r w:rsidRPr="009B0F6E">
        <w:rPr>
          <w:rFonts w:ascii="Calibri" w:hAnsi="Calibri" w:cs="Calibri"/>
          <w:sz w:val="22"/>
          <w:szCs w:val="22"/>
          <w:lang w:val="en-US"/>
        </w:rPr>
        <w:t>It</w:t>
      </w:r>
      <w:proofErr w:type="gramEnd"/>
      <w:r w:rsidRPr="009B0F6E">
        <w:rPr>
          <w:rFonts w:ascii="Calibri" w:hAnsi="Calibri" w:cs="Calibri"/>
          <w:sz w:val="22"/>
          <w:szCs w:val="22"/>
          <w:lang w:val="en-US"/>
        </w:rPr>
        <w:t xml:space="preserve"> should be noted that in this trial, only the first-generation Watchman device was available for the comparison.</w:t>
      </w:r>
    </w:p>
    <w:p w14:paraId="476DAA7B" w14:textId="77777777" w:rsidR="00EB1980" w:rsidRPr="009B0F6E" w:rsidRDefault="00EB1980" w:rsidP="003A7AD9">
      <w:pPr>
        <w:pStyle w:val="NormalWeb"/>
        <w:widowControl w:val="0"/>
        <w:jc w:val="both"/>
        <w:rPr>
          <w:rFonts w:ascii="Calibri" w:hAnsi="Calibri" w:cs="Calibri"/>
          <w:sz w:val="22"/>
          <w:szCs w:val="22"/>
          <w:lang w:val="en-US"/>
        </w:rPr>
      </w:pPr>
    </w:p>
    <w:p w14:paraId="3048368E" w14:textId="1633DE8A" w:rsidR="00DD3127" w:rsidRPr="009B0F6E" w:rsidRDefault="00C1376C" w:rsidP="003A7AD9">
      <w:pPr>
        <w:pStyle w:val="NormalWeb"/>
        <w:widowControl w:val="0"/>
        <w:jc w:val="both"/>
        <w:rPr>
          <w:rFonts w:ascii="Calibri" w:hAnsi="Calibri" w:cs="Calibri"/>
          <w:sz w:val="22"/>
          <w:szCs w:val="22"/>
          <w:lang w:val="en-US"/>
        </w:rPr>
      </w:pPr>
      <w:r w:rsidRPr="009B0F6E">
        <w:rPr>
          <w:rFonts w:ascii="Calibri" w:hAnsi="Calibri" w:cs="Calibri"/>
          <w:sz w:val="22"/>
          <w:szCs w:val="22"/>
          <w:lang w:val="en-US"/>
        </w:rPr>
        <w:t>Since then, second- and third-generation Watchman devices have been commercially released, with multiple design changes which have been shown to reduce the risk for pericardial effusion, major bleeding, PDL, and likely DRT.</w:t>
      </w:r>
      <w:r w:rsidR="00D12D68" w:rsidRPr="009B0F6E">
        <w:rPr>
          <w:rFonts w:ascii="Calibri" w:hAnsi="Calibri" w:cs="Calibri"/>
          <w:sz w:val="22"/>
          <w:szCs w:val="22"/>
          <w:vertAlign w:val="superscript"/>
          <w:lang w:val="en-US"/>
        </w:rPr>
        <w:t>29</w:t>
      </w:r>
      <w:r w:rsidRPr="009B0F6E">
        <w:rPr>
          <w:rFonts w:ascii="Calibri" w:hAnsi="Calibri" w:cs="Calibri"/>
          <w:sz w:val="22"/>
          <w:szCs w:val="22"/>
          <w:lang w:val="en-US"/>
        </w:rPr>
        <w:t xml:space="preserve"> In the SWISS-APERO RCT the efficacy and the safety profiles of Watchman 2.5/ FLX and Amulet devices were compared for the first time. At the efficacy 45 days analysis both groups were assessed for LAA patency using cardiac computer tomography angiography (CCTA). The patent appendage rate was similar between the two groups. However, the underlying mechanisms significantly differ between the two arms.</w:t>
      </w:r>
      <w:r w:rsidRPr="009B0F6E">
        <w:rPr>
          <w:rFonts w:ascii="Calibri" w:hAnsi="Calibri" w:cs="Calibri"/>
          <w:sz w:val="22"/>
          <w:szCs w:val="22"/>
          <w:vertAlign w:val="superscript"/>
          <w:lang w:val="en-US"/>
        </w:rPr>
        <w:t>3</w:t>
      </w:r>
      <w:r w:rsidR="00D12D68" w:rsidRPr="009B0F6E">
        <w:rPr>
          <w:rFonts w:ascii="Calibri" w:hAnsi="Calibri" w:cs="Calibri"/>
          <w:sz w:val="22"/>
          <w:szCs w:val="22"/>
          <w:vertAlign w:val="superscript"/>
          <w:lang w:val="en-US"/>
        </w:rPr>
        <w:t>0</w:t>
      </w:r>
      <w:r w:rsidRPr="009B0F6E">
        <w:rPr>
          <w:rFonts w:ascii="Calibri" w:hAnsi="Calibri" w:cs="Calibri"/>
          <w:sz w:val="22"/>
          <w:szCs w:val="22"/>
          <w:lang w:val="en-US"/>
        </w:rPr>
        <w:t xml:space="preserve"> When assessed by TEE, PDL rates </w:t>
      </w:r>
      <w:r w:rsidRPr="009B0F6E">
        <w:rPr>
          <w:rFonts w:ascii="Calibri" w:hAnsi="Calibri" w:cs="Calibri"/>
          <w:color w:val="333333"/>
          <w:sz w:val="22"/>
          <w:szCs w:val="22"/>
          <w:shd w:val="clear" w:color="auto" w:fill="FFFFFF"/>
          <w:lang w:val="en-US"/>
        </w:rPr>
        <w:t>were 2-fold higher with Watchman than with Amulet at TEE (27.5% versus 13.7%;</w:t>
      </w:r>
      <w:r w:rsidR="00351D23" w:rsidRPr="009B0F6E">
        <w:rPr>
          <w:rFonts w:ascii="Calibri" w:hAnsi="Calibri" w:cs="Calibri"/>
          <w:color w:val="333333"/>
          <w:sz w:val="22"/>
          <w:szCs w:val="22"/>
          <w:shd w:val="clear" w:color="auto" w:fill="FFFFFF"/>
          <w:lang w:val="en-US"/>
        </w:rPr>
        <w:t xml:space="preserve"> </w:t>
      </w:r>
      <w:r w:rsidRPr="009B0F6E">
        <w:rPr>
          <w:rFonts w:ascii="Calibri" w:hAnsi="Calibri" w:cs="Calibri"/>
          <w:color w:val="333333"/>
          <w:sz w:val="22"/>
          <w:szCs w:val="22"/>
          <w:lang w:val="en-US"/>
        </w:rPr>
        <w:t>P</w:t>
      </w:r>
      <w:r w:rsidR="004F0C99" w:rsidRPr="009B0F6E">
        <w:rPr>
          <w:rFonts w:ascii="Calibri" w:hAnsi="Calibri" w:cs="Calibri"/>
          <w:color w:val="333333"/>
          <w:sz w:val="22"/>
          <w:szCs w:val="22"/>
          <w:lang w:val="en-US"/>
        </w:rPr>
        <w:t xml:space="preserve"> </w:t>
      </w:r>
      <w:r w:rsidRPr="009B0F6E">
        <w:rPr>
          <w:rFonts w:ascii="Calibri" w:hAnsi="Calibri" w:cs="Calibri"/>
          <w:color w:val="333333"/>
          <w:sz w:val="22"/>
          <w:szCs w:val="22"/>
          <w:shd w:val="clear" w:color="auto" w:fill="FFFFFF"/>
          <w:lang w:val="en-US"/>
        </w:rPr>
        <w:t>=</w:t>
      </w:r>
      <w:r w:rsidR="004F0C99" w:rsidRPr="009B0F6E">
        <w:rPr>
          <w:rFonts w:ascii="Calibri" w:hAnsi="Calibri" w:cs="Calibri"/>
          <w:color w:val="333333"/>
          <w:sz w:val="22"/>
          <w:szCs w:val="22"/>
          <w:shd w:val="clear" w:color="auto" w:fill="FFFFFF"/>
          <w:lang w:val="en-US"/>
        </w:rPr>
        <w:t xml:space="preserve"> </w:t>
      </w:r>
      <w:r w:rsidRPr="009B0F6E">
        <w:rPr>
          <w:rFonts w:ascii="Calibri" w:hAnsi="Calibri" w:cs="Calibri"/>
          <w:color w:val="333333"/>
          <w:sz w:val="22"/>
          <w:szCs w:val="22"/>
          <w:shd w:val="clear" w:color="auto" w:fill="FFFFFF"/>
          <w:lang w:val="en-US"/>
        </w:rPr>
        <w:t xml:space="preserve">0.020). </w:t>
      </w:r>
      <w:r w:rsidRPr="009B0F6E">
        <w:rPr>
          <w:rFonts w:ascii="Calibri" w:hAnsi="Calibri" w:cs="Calibri"/>
          <w:sz w:val="22"/>
          <w:szCs w:val="22"/>
          <w:lang w:val="en-US"/>
        </w:rPr>
        <w:t>When the leaks detected by CCTA were categorized by mechanism, Watchman showed a lower rate of intra-device leaks compared to Amulet (23% vs. 44.8%; P = 0.001), but a higher rate of mixed leaks (14% vs. 3.8%; P = 0.01).</w:t>
      </w:r>
      <w:r w:rsidR="00351D23" w:rsidRPr="009B0F6E">
        <w:rPr>
          <w:rFonts w:ascii="Calibri" w:hAnsi="Calibri" w:cs="Calibri"/>
          <w:sz w:val="22"/>
          <w:szCs w:val="22"/>
          <w:lang w:val="en-US"/>
        </w:rPr>
        <w:t xml:space="preserve"> </w:t>
      </w:r>
      <w:r w:rsidRPr="009B0F6E">
        <w:rPr>
          <w:rFonts w:ascii="Calibri" w:hAnsi="Calibri" w:cs="Calibri"/>
          <w:sz w:val="22"/>
          <w:szCs w:val="22"/>
          <w:lang w:val="en-US"/>
        </w:rPr>
        <w:t>Unlike CCTA, TEE detects LAA leaks through direct visualization of high-velocity flows adjacent to the device lobe, regardless of whether the flow extends along the entire lobe length or only a portion of it.</w:t>
      </w:r>
      <w:r w:rsidRPr="009B0F6E">
        <w:rPr>
          <w:rFonts w:ascii="Calibri" w:hAnsi="Calibri" w:cs="Calibri"/>
          <w:sz w:val="22"/>
          <w:szCs w:val="22"/>
          <w:vertAlign w:val="superscript"/>
          <w:lang w:val="en-US"/>
        </w:rPr>
        <w:t>3</w:t>
      </w:r>
      <w:r w:rsidR="00D12D68" w:rsidRPr="009B0F6E">
        <w:rPr>
          <w:rFonts w:ascii="Calibri" w:hAnsi="Calibri" w:cs="Calibri"/>
          <w:sz w:val="22"/>
          <w:szCs w:val="22"/>
          <w:vertAlign w:val="superscript"/>
          <w:lang w:val="en-US"/>
        </w:rPr>
        <w:t>1</w:t>
      </w:r>
      <w:r w:rsidRPr="009B0F6E">
        <w:rPr>
          <w:rFonts w:ascii="Calibri" w:hAnsi="Calibri" w:cs="Calibri"/>
          <w:sz w:val="22"/>
          <w:szCs w:val="22"/>
          <w:lang w:val="en-US"/>
        </w:rPr>
        <w:t xml:space="preserve"> The leaks identified by TEE therefore would largely correspond to the mixed leaks and PDLs detected by CCTA.</w:t>
      </w:r>
    </w:p>
    <w:p w14:paraId="3048368F" w14:textId="77777777" w:rsidR="00DD3127" w:rsidRPr="009B0F6E" w:rsidRDefault="00DD3127" w:rsidP="003A7AD9">
      <w:pPr>
        <w:pStyle w:val="NormalWeb"/>
        <w:widowControl w:val="0"/>
        <w:jc w:val="both"/>
        <w:rPr>
          <w:rFonts w:ascii="Calibri" w:hAnsi="Calibri" w:cs="Calibri"/>
          <w:sz w:val="22"/>
          <w:szCs w:val="22"/>
          <w:lang w:val="en-US"/>
        </w:rPr>
      </w:pPr>
    </w:p>
    <w:p w14:paraId="30483690" w14:textId="278C2B5D" w:rsidR="00DD3127" w:rsidRPr="001E0E29" w:rsidRDefault="00C1376C" w:rsidP="003A7AD9">
      <w:pPr>
        <w:pStyle w:val="NormalWeb"/>
        <w:widowControl w:val="0"/>
        <w:jc w:val="both"/>
        <w:rPr>
          <w:rFonts w:ascii="Calibri" w:hAnsi="Calibri" w:cs="Calibri"/>
          <w:color w:val="auto"/>
          <w:sz w:val="22"/>
          <w:szCs w:val="22"/>
          <w:u w:val="single"/>
          <w:lang w:val="en-US"/>
        </w:rPr>
      </w:pPr>
      <w:r w:rsidRPr="009B0F6E">
        <w:rPr>
          <w:rFonts w:ascii="Calibri" w:hAnsi="Calibri" w:cs="Calibri"/>
          <w:sz w:val="22"/>
          <w:szCs w:val="22"/>
          <w:lang w:val="en-US"/>
        </w:rPr>
        <w:t>At the 13-months analysis LAA patency was observed in 53.6% of Amulet 48.8% with Watchman 2.5/FLX (RR, 1.10 [95% CI, 0.81–1.48];</w:t>
      </w:r>
      <w:r w:rsidR="00351D23" w:rsidRPr="009B0F6E">
        <w:rPr>
          <w:rFonts w:ascii="Calibri" w:hAnsi="Calibri" w:cs="Calibri"/>
          <w:sz w:val="22"/>
          <w:szCs w:val="22"/>
          <w:lang w:val="en-US"/>
        </w:rPr>
        <w:t xml:space="preserve"> </w:t>
      </w:r>
      <w:r w:rsidRPr="009B0F6E">
        <w:rPr>
          <w:rFonts w:ascii="Calibri" w:hAnsi="Calibri" w:cs="Calibri"/>
          <w:sz w:val="22"/>
          <w:szCs w:val="22"/>
          <w:lang w:val="en-US"/>
        </w:rPr>
        <w:t>P</w:t>
      </w:r>
      <w:r w:rsidR="004F0C99" w:rsidRPr="009B0F6E">
        <w:rPr>
          <w:rFonts w:ascii="Calibri" w:hAnsi="Calibri" w:cs="Calibri"/>
          <w:sz w:val="22"/>
          <w:szCs w:val="22"/>
          <w:lang w:val="en-US"/>
        </w:rPr>
        <w:t xml:space="preserve"> </w:t>
      </w:r>
      <w:r w:rsidRPr="009B0F6E">
        <w:rPr>
          <w:rFonts w:ascii="Calibri" w:hAnsi="Calibri" w:cs="Calibri"/>
          <w:sz w:val="22"/>
          <w:szCs w:val="22"/>
          <w:lang w:val="en-US"/>
        </w:rPr>
        <w:t>=</w:t>
      </w:r>
      <w:r w:rsidR="004F0C99" w:rsidRPr="009B0F6E">
        <w:rPr>
          <w:rFonts w:ascii="Calibri" w:hAnsi="Calibri" w:cs="Calibri"/>
          <w:sz w:val="22"/>
          <w:szCs w:val="22"/>
          <w:lang w:val="en-US"/>
        </w:rPr>
        <w:t xml:space="preserve"> </w:t>
      </w:r>
      <w:r w:rsidRPr="009B0F6E">
        <w:rPr>
          <w:rFonts w:ascii="Calibri" w:hAnsi="Calibri" w:cs="Calibri"/>
          <w:sz w:val="22"/>
          <w:szCs w:val="22"/>
          <w:lang w:val="en-US"/>
        </w:rPr>
        <w:t>0.537). Conversely, in the Amulet IDE trial, LAA complete occlusion rate at the 12-month transesophageal echocardiography was higher with Amulet compared with Watchman 2.5 (63.2% versus 53.1%;</w:t>
      </w:r>
      <w:r w:rsidR="00351D23" w:rsidRPr="009B0F6E">
        <w:rPr>
          <w:rFonts w:ascii="Calibri" w:hAnsi="Calibri" w:cs="Calibri"/>
          <w:sz w:val="22"/>
          <w:szCs w:val="22"/>
          <w:lang w:val="en-US"/>
        </w:rPr>
        <w:t xml:space="preserve"> </w:t>
      </w:r>
      <w:r w:rsidRPr="009B0F6E">
        <w:rPr>
          <w:rFonts w:ascii="Calibri" w:hAnsi="Calibri" w:cs="Calibri"/>
          <w:i/>
          <w:iCs/>
          <w:sz w:val="22"/>
          <w:szCs w:val="22"/>
          <w:lang w:val="en-US"/>
        </w:rPr>
        <w:t>P</w:t>
      </w:r>
      <w:r w:rsidRPr="009B0F6E">
        <w:rPr>
          <w:rFonts w:ascii="Calibri" w:hAnsi="Calibri" w:cs="Calibri"/>
          <w:sz w:val="22"/>
          <w:szCs w:val="22"/>
          <w:lang w:val="en-US"/>
        </w:rPr>
        <w:t>&lt;0.01).</w:t>
      </w:r>
      <w:r w:rsidRPr="009B0F6E">
        <w:rPr>
          <w:rFonts w:ascii="Calibri" w:hAnsi="Calibri" w:cs="Calibri"/>
          <w:sz w:val="22"/>
          <w:szCs w:val="22"/>
          <w:vertAlign w:val="superscript"/>
          <w:lang w:val="en-US"/>
        </w:rPr>
        <w:t>2</w:t>
      </w:r>
      <w:r w:rsidR="00D12D68" w:rsidRPr="009B0F6E">
        <w:rPr>
          <w:rFonts w:ascii="Calibri" w:hAnsi="Calibri" w:cs="Calibri"/>
          <w:sz w:val="22"/>
          <w:szCs w:val="22"/>
          <w:vertAlign w:val="superscript"/>
          <w:lang w:val="en-US"/>
        </w:rPr>
        <w:t>7</w:t>
      </w:r>
    </w:p>
    <w:p w14:paraId="30483691" w14:textId="47684EA0" w:rsidR="00DD3127" w:rsidRPr="001E0E29" w:rsidRDefault="00DD3127" w:rsidP="003A7AD9">
      <w:pPr>
        <w:pStyle w:val="NormalWeb"/>
        <w:widowControl w:val="0"/>
        <w:jc w:val="both"/>
        <w:rPr>
          <w:rFonts w:ascii="Calibri" w:hAnsi="Calibri" w:cs="Calibri"/>
          <w:color w:val="auto"/>
          <w:sz w:val="22"/>
          <w:szCs w:val="22"/>
          <w:u w:val="single"/>
          <w:lang w:val="en-US"/>
        </w:rPr>
      </w:pPr>
    </w:p>
    <w:p w14:paraId="4656F325" w14:textId="079D20AD" w:rsidR="00DC4445" w:rsidRPr="009B0F6E" w:rsidRDefault="00C1376C" w:rsidP="003A7AD9">
      <w:pPr>
        <w:pStyle w:val="NormalWeb"/>
        <w:widowControl w:val="0"/>
        <w:jc w:val="both"/>
        <w:rPr>
          <w:rFonts w:ascii="Calibri" w:hAnsi="Calibri" w:cs="Calibri"/>
          <w:sz w:val="22"/>
          <w:szCs w:val="22"/>
          <w:lang w:val="en-US"/>
        </w:rPr>
      </w:pPr>
      <w:r w:rsidRPr="009B0F6E">
        <w:rPr>
          <w:rFonts w:ascii="Calibri" w:hAnsi="Calibri" w:cs="Calibri"/>
          <w:sz w:val="22"/>
          <w:szCs w:val="22"/>
          <w:lang w:val="en-US"/>
        </w:rPr>
        <w:t>It is likely that differences in the type of devices used as well as the different primary imaging modality used to assess LAA patency, may partially explain the different LAA patency outcomes observed in these two trials. On the other hand, similarly to the Amulet IDE trial, the SWISS-APERO trial did not show any significant differences between Amulet and Watchman in cardiovascular death, ischemic stroke and systemic embolism, cerebrovascular events, or bleeding.</w:t>
      </w:r>
      <w:r w:rsidRPr="009B0F6E">
        <w:rPr>
          <w:rFonts w:ascii="Calibri" w:hAnsi="Calibri" w:cs="Calibri"/>
          <w:sz w:val="22"/>
          <w:szCs w:val="22"/>
          <w:vertAlign w:val="superscript"/>
          <w:lang w:val="en-US"/>
        </w:rPr>
        <w:t>3</w:t>
      </w:r>
      <w:r w:rsidR="00D12D68" w:rsidRPr="009B0F6E">
        <w:rPr>
          <w:rFonts w:ascii="Calibri" w:hAnsi="Calibri" w:cs="Calibri"/>
          <w:sz w:val="22"/>
          <w:szCs w:val="22"/>
          <w:vertAlign w:val="superscript"/>
          <w:lang w:val="en-US"/>
        </w:rPr>
        <w:t>2</w:t>
      </w:r>
    </w:p>
    <w:p w14:paraId="30483692" w14:textId="31FB4A71" w:rsidR="00DD3127" w:rsidRPr="009B0F6E" w:rsidRDefault="00DD3127" w:rsidP="003A7AD9">
      <w:pPr>
        <w:pStyle w:val="NormalWeb"/>
        <w:widowControl w:val="0"/>
        <w:jc w:val="both"/>
        <w:rPr>
          <w:rFonts w:ascii="Calibri" w:hAnsi="Calibri" w:cs="Calibri"/>
          <w:sz w:val="22"/>
          <w:szCs w:val="22"/>
          <w:lang w:val="en-US"/>
        </w:rPr>
      </w:pPr>
    </w:p>
    <w:p w14:paraId="30483693" w14:textId="1063905E" w:rsidR="00DD3127" w:rsidRPr="009B0F6E" w:rsidRDefault="00C1376C" w:rsidP="003A7AD9">
      <w:pPr>
        <w:pStyle w:val="NormalWeb"/>
        <w:widowControl w:val="0"/>
        <w:jc w:val="both"/>
        <w:rPr>
          <w:rFonts w:ascii="Calibri" w:hAnsi="Calibri" w:cs="Calibri"/>
          <w:sz w:val="22"/>
          <w:szCs w:val="22"/>
          <w:lang w:val="en-US"/>
        </w:rPr>
      </w:pPr>
      <w:r w:rsidRPr="009B0F6E">
        <w:rPr>
          <w:rFonts w:ascii="Calibri" w:hAnsi="Calibri" w:cs="Calibri"/>
          <w:sz w:val="22"/>
          <w:szCs w:val="22"/>
          <w:lang w:val="en-US"/>
        </w:rPr>
        <w:t>At the 3-year analysis DRT and PDL rates detected at CCTA did not differ significantly between the two groups (P &gt; 0.05). In addition, no significant associations were found between DRT or PDL and ischemic events. The Amulet group exhibited a lower incidence of CVD, stroke, transient ischemic attack (TIA), or SE compared with the Watchman 2.5/ FLX group (18.2% vs. 31%; HR: 0.58; 95% CI: 0.33–1.03; P = 0.062). This trend was driven by numerically lower rates of CVD (13.5% vs. 23.4%), stroke (5.0% vs. 9.4%), and TIA (1.1% vs. 4.5%). When periprocedural events occurring within 7 days were censored, Amulet arm showed a significantly lower rate of the composite outcome compared to the Watchman FLX group (HR: 0.50; 95% CI: 0.28–0.92; P = 0.026).</w:t>
      </w:r>
      <w:r w:rsidRPr="009B0F6E">
        <w:rPr>
          <w:rFonts w:ascii="Calibri" w:hAnsi="Calibri" w:cs="Calibri"/>
          <w:sz w:val="22"/>
          <w:szCs w:val="22"/>
          <w:vertAlign w:val="superscript"/>
          <w:lang w:val="en-US"/>
        </w:rPr>
        <w:t>3</w:t>
      </w:r>
      <w:r w:rsidR="00D12D68" w:rsidRPr="009B0F6E">
        <w:rPr>
          <w:rFonts w:ascii="Calibri" w:hAnsi="Calibri" w:cs="Calibri"/>
          <w:sz w:val="22"/>
          <w:szCs w:val="22"/>
          <w:vertAlign w:val="superscript"/>
          <w:lang w:val="en-US"/>
        </w:rPr>
        <w:t>3</w:t>
      </w:r>
      <w:r w:rsidRPr="009B0F6E">
        <w:rPr>
          <w:rFonts w:ascii="Calibri" w:hAnsi="Calibri" w:cs="Calibri"/>
          <w:sz w:val="22"/>
          <w:szCs w:val="22"/>
          <w:lang w:val="en-US"/>
        </w:rPr>
        <w:t xml:space="preserve"> However, the study was not powered for this clinical endpoint, and further studies are required to confirm potential device-related differences in clinical outcomes.</w:t>
      </w:r>
    </w:p>
    <w:p w14:paraId="30483694" w14:textId="77777777" w:rsidR="00DD3127" w:rsidRPr="009B0F6E" w:rsidRDefault="00DD3127" w:rsidP="003A7AD9">
      <w:pPr>
        <w:pStyle w:val="NormalWeb"/>
        <w:widowControl w:val="0"/>
        <w:jc w:val="both"/>
        <w:rPr>
          <w:rFonts w:ascii="Calibri" w:hAnsi="Calibri" w:cs="Calibri"/>
          <w:sz w:val="22"/>
          <w:szCs w:val="22"/>
          <w:lang w:val="en-US"/>
        </w:rPr>
      </w:pPr>
    </w:p>
    <w:p w14:paraId="30483695" w14:textId="65112ED2" w:rsidR="00DD3127" w:rsidRPr="001E0E29" w:rsidRDefault="00C1376C" w:rsidP="003A7AD9">
      <w:pPr>
        <w:widowControl w:val="0"/>
        <w:jc w:val="both"/>
        <w:rPr>
          <w:rFonts w:ascii="Calibri" w:hAnsi="Calibri" w:cs="Calibri"/>
          <w:bCs/>
          <w:i/>
          <w:sz w:val="22"/>
          <w:szCs w:val="22"/>
        </w:rPr>
      </w:pPr>
      <w:r w:rsidRPr="001E0E29">
        <w:rPr>
          <w:rFonts w:ascii="Calibri" w:hAnsi="Calibri" w:cs="Calibri"/>
          <w:bCs/>
          <w:i/>
          <w:sz w:val="22"/>
          <w:szCs w:val="22"/>
        </w:rPr>
        <w:t>Endo-epicardial approach</w:t>
      </w:r>
    </w:p>
    <w:p w14:paraId="30483696" w14:textId="77777777" w:rsidR="00DD3127" w:rsidRPr="001E0E29" w:rsidRDefault="00C1376C" w:rsidP="003A7AD9">
      <w:pPr>
        <w:widowControl w:val="0"/>
        <w:jc w:val="both"/>
        <w:rPr>
          <w:rFonts w:ascii="Calibri" w:hAnsi="Calibri" w:cs="Calibri"/>
          <w:b/>
          <w:bCs/>
          <w:i/>
          <w:sz w:val="22"/>
          <w:szCs w:val="22"/>
        </w:rPr>
      </w:pPr>
      <w:r w:rsidRPr="001E0E29">
        <w:rPr>
          <w:rFonts w:ascii="Calibri" w:hAnsi="Calibri" w:cs="Calibri"/>
          <w:b/>
          <w:bCs/>
          <w:i/>
          <w:sz w:val="22"/>
          <w:szCs w:val="22"/>
        </w:rPr>
        <w:t>LARIAT (SentreHeart)</w:t>
      </w:r>
    </w:p>
    <w:p w14:paraId="30483698" w14:textId="4E40B150"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The</w:t>
      </w:r>
      <w:r w:rsidR="00351D23" w:rsidRPr="009B0F6E">
        <w:rPr>
          <w:rFonts w:ascii="Calibri" w:hAnsi="Calibri" w:cs="Calibri"/>
          <w:sz w:val="22"/>
          <w:szCs w:val="22"/>
        </w:rPr>
        <w:t xml:space="preserve"> </w:t>
      </w:r>
      <w:r w:rsidRPr="009B0F6E">
        <w:rPr>
          <w:rFonts w:ascii="Calibri" w:hAnsi="Calibri" w:cs="Calibri"/>
          <w:sz w:val="22"/>
          <w:szCs w:val="22"/>
        </w:rPr>
        <w:t>LARIAT device</w:t>
      </w:r>
      <w:r w:rsidR="00351D23" w:rsidRPr="009B0F6E">
        <w:rPr>
          <w:rFonts w:ascii="Calibri" w:hAnsi="Calibri" w:cs="Calibri"/>
          <w:sz w:val="22"/>
          <w:szCs w:val="22"/>
        </w:rPr>
        <w:t xml:space="preserve"> </w:t>
      </w:r>
      <w:r w:rsidRPr="009B0F6E">
        <w:rPr>
          <w:rFonts w:ascii="Calibri" w:hAnsi="Calibri" w:cs="Calibri"/>
          <w:sz w:val="22"/>
          <w:szCs w:val="22"/>
        </w:rPr>
        <w:t>is a percutaneous epicardial suture-based ligation system for LAAC that avoids the deployment of a long-term implant inside the heart. It is placed through a combination of</w:t>
      </w:r>
      <w:r w:rsidR="00351D23" w:rsidRPr="009B0F6E">
        <w:rPr>
          <w:rFonts w:ascii="Calibri" w:hAnsi="Calibri" w:cs="Calibri"/>
          <w:sz w:val="22"/>
          <w:szCs w:val="22"/>
        </w:rPr>
        <w:t xml:space="preserve"> </w:t>
      </w:r>
      <w:r w:rsidRPr="009B0F6E">
        <w:rPr>
          <w:rFonts w:ascii="Calibri" w:hAnsi="Calibri" w:cs="Calibri"/>
          <w:sz w:val="22"/>
          <w:szCs w:val="22"/>
        </w:rPr>
        <w:t>trans-septal (endocardial)</w:t>
      </w:r>
      <w:r w:rsidR="00351D23" w:rsidRPr="009B0F6E">
        <w:rPr>
          <w:rFonts w:ascii="Calibri" w:hAnsi="Calibri" w:cs="Calibri"/>
          <w:sz w:val="22"/>
          <w:szCs w:val="22"/>
        </w:rPr>
        <w:t xml:space="preserve"> </w:t>
      </w:r>
      <w:r w:rsidRPr="009B0F6E">
        <w:rPr>
          <w:rFonts w:ascii="Calibri" w:hAnsi="Calibri" w:cs="Calibri"/>
          <w:sz w:val="22"/>
          <w:szCs w:val="22"/>
        </w:rPr>
        <w:t>and</w:t>
      </w:r>
      <w:r w:rsidR="00351D23" w:rsidRPr="009B0F6E">
        <w:rPr>
          <w:rFonts w:ascii="Calibri" w:hAnsi="Calibri" w:cs="Calibri"/>
          <w:sz w:val="22"/>
          <w:szCs w:val="22"/>
        </w:rPr>
        <w:t xml:space="preserve"> </w:t>
      </w:r>
      <w:r w:rsidRPr="009B0F6E">
        <w:rPr>
          <w:rFonts w:ascii="Calibri" w:hAnsi="Calibri" w:cs="Calibri"/>
          <w:sz w:val="22"/>
          <w:szCs w:val="22"/>
        </w:rPr>
        <w:t>pericardial access. Two magnet-tipped guidewires, one introduced via the atrium and the other through the pericardial space, are aligned to allow delivery of a</w:t>
      </w:r>
      <w:r w:rsidR="00351D23" w:rsidRPr="009B0F6E">
        <w:rPr>
          <w:rFonts w:ascii="Calibri" w:hAnsi="Calibri" w:cs="Calibri"/>
          <w:sz w:val="22"/>
          <w:szCs w:val="22"/>
        </w:rPr>
        <w:t xml:space="preserve"> </w:t>
      </w:r>
      <w:r w:rsidRPr="009B0F6E">
        <w:rPr>
          <w:rFonts w:ascii="Calibri" w:hAnsi="Calibri" w:cs="Calibri"/>
          <w:sz w:val="22"/>
          <w:szCs w:val="22"/>
        </w:rPr>
        <w:t>pre-tied polyester snare</w:t>
      </w:r>
      <w:r w:rsidR="00351D23" w:rsidRPr="009B0F6E">
        <w:rPr>
          <w:rFonts w:ascii="Calibri" w:hAnsi="Calibri" w:cs="Calibri"/>
          <w:sz w:val="22"/>
          <w:szCs w:val="22"/>
        </w:rPr>
        <w:t xml:space="preserve"> </w:t>
      </w:r>
      <w:r w:rsidRPr="009B0F6E">
        <w:rPr>
          <w:rFonts w:ascii="Calibri" w:hAnsi="Calibri" w:cs="Calibri"/>
          <w:sz w:val="22"/>
          <w:szCs w:val="22"/>
        </w:rPr>
        <w:t>around the base of the LAA. Once deployed, the snare is cinched externally,</w:t>
      </w:r>
      <w:r w:rsidR="00351D23" w:rsidRPr="009B0F6E">
        <w:rPr>
          <w:rFonts w:ascii="Calibri" w:hAnsi="Calibri" w:cs="Calibri"/>
          <w:sz w:val="22"/>
          <w:szCs w:val="22"/>
        </w:rPr>
        <w:t xml:space="preserve"> </w:t>
      </w:r>
      <w:r w:rsidRPr="009B0F6E">
        <w:rPr>
          <w:rFonts w:ascii="Calibri" w:hAnsi="Calibri" w:cs="Calibri"/>
          <w:sz w:val="22"/>
          <w:szCs w:val="22"/>
        </w:rPr>
        <w:t>ligating the LAA from the outside</w:t>
      </w:r>
      <w:r w:rsidR="00351D23" w:rsidRPr="009B0F6E">
        <w:rPr>
          <w:rFonts w:ascii="Calibri" w:hAnsi="Calibri" w:cs="Calibri"/>
          <w:sz w:val="22"/>
          <w:szCs w:val="22"/>
        </w:rPr>
        <w:t xml:space="preserve"> </w:t>
      </w:r>
      <w:r w:rsidRPr="009B0F6E">
        <w:rPr>
          <w:rFonts w:ascii="Calibri" w:hAnsi="Calibri" w:cs="Calibri"/>
          <w:sz w:val="22"/>
          <w:szCs w:val="22"/>
        </w:rPr>
        <w:t>and promoting natural endothelialization without the use of foreign material. The system includes a pericardial sheath, an occlusion balloon to shape the LAA during positioning, and a non-absorbable suture loop. Over time, the system has evolved to improve safety, anatomical compatibility, and operator control. The second-generation, LARIAT+, improved upon the design, with an increased snare size (up to 45 mm), a fluoroscopic orientation marker, and a braided shaft for better torque control.</w:t>
      </w:r>
      <w:r w:rsidRPr="009B0F6E">
        <w:rPr>
          <w:rFonts w:ascii="Calibri" w:hAnsi="Calibri" w:cs="Calibri"/>
          <w:sz w:val="22"/>
          <w:szCs w:val="22"/>
          <w:vertAlign w:val="superscript"/>
        </w:rPr>
        <w:t>3</w:t>
      </w:r>
      <w:r w:rsidR="00D12D68" w:rsidRPr="009B0F6E">
        <w:rPr>
          <w:rFonts w:ascii="Calibri" w:hAnsi="Calibri" w:cs="Calibri"/>
          <w:sz w:val="22"/>
          <w:szCs w:val="22"/>
          <w:vertAlign w:val="superscript"/>
        </w:rPr>
        <w:t>4</w:t>
      </w:r>
      <w:r w:rsidRPr="009B0F6E">
        <w:rPr>
          <w:rFonts w:ascii="Calibri" w:hAnsi="Calibri" w:cs="Calibri"/>
          <w:sz w:val="22"/>
          <w:szCs w:val="22"/>
        </w:rPr>
        <w:t xml:space="preserve"> The third-generation LARIAT RS included faster, more intuitive deployment and improved magnet alignment. In this version, the use of a pigtail catheter to fill and direct the LAA endocardially is supposed to improve procedural safety and control.</w:t>
      </w:r>
      <w:r w:rsidRPr="009B0F6E">
        <w:rPr>
          <w:rFonts w:ascii="Calibri" w:hAnsi="Calibri" w:cs="Calibri"/>
          <w:sz w:val="22"/>
          <w:szCs w:val="22"/>
          <w:vertAlign w:val="superscript"/>
        </w:rPr>
        <w:t>3</w:t>
      </w:r>
      <w:r w:rsidR="00D12D68" w:rsidRPr="009B0F6E">
        <w:rPr>
          <w:rFonts w:ascii="Calibri" w:hAnsi="Calibri" w:cs="Calibri"/>
          <w:sz w:val="22"/>
          <w:szCs w:val="22"/>
          <w:vertAlign w:val="superscript"/>
        </w:rPr>
        <w:t>5</w:t>
      </w:r>
      <w:r w:rsidRPr="009B0F6E">
        <w:rPr>
          <w:rFonts w:ascii="Calibri" w:hAnsi="Calibri" w:cs="Calibri"/>
          <w:sz w:val="22"/>
          <w:szCs w:val="22"/>
        </w:rPr>
        <w:t xml:space="preserve"> </w:t>
      </w:r>
      <w:proofErr w:type="gramStart"/>
      <w:r w:rsidRPr="009B0F6E">
        <w:rPr>
          <w:rFonts w:ascii="Calibri" w:hAnsi="Calibri" w:cs="Calibri"/>
          <w:sz w:val="22"/>
          <w:szCs w:val="22"/>
        </w:rPr>
        <w:t>The</w:t>
      </w:r>
      <w:proofErr w:type="gramEnd"/>
      <w:r w:rsidRPr="009B0F6E">
        <w:rPr>
          <w:rFonts w:ascii="Calibri" w:hAnsi="Calibri" w:cs="Calibri"/>
          <w:sz w:val="22"/>
          <w:szCs w:val="22"/>
        </w:rPr>
        <w:t xml:space="preserve"> device’s</w:t>
      </w:r>
      <w:r w:rsidR="00351D23" w:rsidRPr="009B0F6E">
        <w:rPr>
          <w:rFonts w:ascii="Calibri" w:hAnsi="Calibri" w:cs="Calibri"/>
          <w:sz w:val="22"/>
          <w:szCs w:val="22"/>
        </w:rPr>
        <w:t xml:space="preserve"> </w:t>
      </w:r>
      <w:r w:rsidRPr="009B0F6E">
        <w:rPr>
          <w:rFonts w:ascii="Calibri" w:hAnsi="Calibri" w:cs="Calibri"/>
          <w:sz w:val="22"/>
          <w:szCs w:val="22"/>
        </w:rPr>
        <w:t>implant-free design</w:t>
      </w:r>
      <w:r w:rsidR="00351D23" w:rsidRPr="009B0F6E">
        <w:rPr>
          <w:rFonts w:ascii="Calibri" w:hAnsi="Calibri" w:cs="Calibri"/>
          <w:sz w:val="22"/>
          <w:szCs w:val="22"/>
        </w:rPr>
        <w:t xml:space="preserve"> </w:t>
      </w:r>
      <w:r w:rsidRPr="009B0F6E">
        <w:rPr>
          <w:rFonts w:ascii="Calibri" w:hAnsi="Calibri" w:cs="Calibri"/>
          <w:sz w:val="22"/>
          <w:szCs w:val="22"/>
        </w:rPr>
        <w:t>eliminates potential DRT and minimizes long-term foreign body exposure. In the first human study of the LARIAT device, a</w:t>
      </w:r>
      <w:r w:rsidR="00351D23" w:rsidRPr="009B0F6E">
        <w:rPr>
          <w:rFonts w:ascii="Calibri" w:hAnsi="Calibri" w:cs="Calibri"/>
          <w:sz w:val="22"/>
          <w:szCs w:val="22"/>
        </w:rPr>
        <w:t xml:space="preserve"> </w:t>
      </w:r>
      <w:r w:rsidRPr="009B0F6E">
        <w:rPr>
          <w:rFonts w:ascii="Calibri" w:hAnsi="Calibri" w:cs="Calibri"/>
          <w:sz w:val="22"/>
          <w:szCs w:val="22"/>
        </w:rPr>
        <w:t>96% acute procedural success rate was achieved,</w:t>
      </w:r>
      <w:r w:rsidR="00351D23" w:rsidRPr="009B0F6E">
        <w:rPr>
          <w:rFonts w:ascii="Calibri" w:hAnsi="Calibri" w:cs="Calibri"/>
          <w:b/>
          <w:bCs/>
          <w:sz w:val="22"/>
          <w:szCs w:val="22"/>
        </w:rPr>
        <w:t xml:space="preserve"> </w:t>
      </w:r>
      <w:r w:rsidRPr="009B0F6E">
        <w:rPr>
          <w:rFonts w:ascii="Calibri" w:hAnsi="Calibri" w:cs="Calibri"/>
          <w:sz w:val="22"/>
          <w:szCs w:val="22"/>
        </w:rPr>
        <w:t>with a 98% rate of complete LAA closure</w:t>
      </w:r>
      <w:r w:rsidR="00351D23" w:rsidRPr="009B0F6E">
        <w:rPr>
          <w:rFonts w:ascii="Calibri" w:hAnsi="Calibri" w:cs="Calibri"/>
          <w:sz w:val="22"/>
          <w:szCs w:val="22"/>
        </w:rPr>
        <w:t xml:space="preserve"> </w:t>
      </w:r>
      <w:r w:rsidRPr="009B0F6E">
        <w:rPr>
          <w:rFonts w:ascii="Calibri" w:hAnsi="Calibri" w:cs="Calibri"/>
          <w:sz w:val="22"/>
          <w:szCs w:val="22"/>
        </w:rPr>
        <w:t>at 12-month follow-up. Most residual leaks were ≤ 3 mm, and complications were limited. These were mainly related to epicardial access, and</w:t>
      </w:r>
      <w:r w:rsidR="00351D23" w:rsidRPr="009B0F6E">
        <w:rPr>
          <w:rFonts w:ascii="Calibri" w:hAnsi="Calibri" w:cs="Calibri"/>
          <w:sz w:val="22"/>
          <w:szCs w:val="22"/>
        </w:rPr>
        <w:t xml:space="preserve"> </w:t>
      </w:r>
      <w:r w:rsidRPr="009B0F6E">
        <w:rPr>
          <w:rFonts w:ascii="Calibri" w:hAnsi="Calibri" w:cs="Calibri"/>
          <w:sz w:val="22"/>
          <w:szCs w:val="22"/>
        </w:rPr>
        <w:t>no device-related deaths or embolic events were reported.</w:t>
      </w:r>
      <w:r w:rsidRPr="009B0F6E">
        <w:rPr>
          <w:rFonts w:ascii="Calibri" w:hAnsi="Calibri" w:cs="Calibri"/>
          <w:sz w:val="22"/>
          <w:szCs w:val="22"/>
          <w:vertAlign w:val="superscript"/>
        </w:rPr>
        <w:t>3</w:t>
      </w:r>
      <w:r w:rsidR="00D12D68" w:rsidRPr="009B0F6E">
        <w:rPr>
          <w:rFonts w:ascii="Calibri" w:hAnsi="Calibri" w:cs="Calibri"/>
          <w:sz w:val="22"/>
          <w:szCs w:val="22"/>
          <w:vertAlign w:val="superscript"/>
        </w:rPr>
        <w:t>6</w:t>
      </w:r>
      <w:r w:rsidRPr="009B0F6E">
        <w:rPr>
          <w:rFonts w:ascii="Calibri" w:hAnsi="Calibri" w:cs="Calibri"/>
          <w:sz w:val="22"/>
          <w:szCs w:val="22"/>
        </w:rPr>
        <w:t xml:space="preserve"> However, in the aMAZE clinical trial,</w:t>
      </w:r>
      <w:r w:rsidR="00351D23" w:rsidRPr="009B0F6E">
        <w:rPr>
          <w:rFonts w:ascii="Calibri" w:hAnsi="Calibri" w:cs="Calibri"/>
          <w:sz w:val="22"/>
          <w:szCs w:val="22"/>
        </w:rPr>
        <w:t xml:space="preserve"> </w:t>
      </w:r>
      <w:r w:rsidRPr="009B0F6E">
        <w:rPr>
          <w:rFonts w:ascii="Calibri" w:hAnsi="Calibri" w:cs="Calibri"/>
          <w:sz w:val="22"/>
          <w:szCs w:val="22"/>
        </w:rPr>
        <w:t>complete closure</w:t>
      </w:r>
      <w:r w:rsidR="00351D23" w:rsidRPr="009B0F6E">
        <w:rPr>
          <w:rFonts w:ascii="Calibri" w:hAnsi="Calibri" w:cs="Calibri"/>
          <w:sz w:val="22"/>
          <w:szCs w:val="22"/>
        </w:rPr>
        <w:t xml:space="preserve"> </w:t>
      </w:r>
      <w:r w:rsidRPr="009B0F6E">
        <w:rPr>
          <w:rFonts w:ascii="Calibri" w:hAnsi="Calibri" w:cs="Calibri"/>
          <w:sz w:val="22"/>
          <w:szCs w:val="22"/>
        </w:rPr>
        <w:t>of the LAA with the LARIAT+/RS device was achieved in</w:t>
      </w:r>
      <w:r w:rsidR="00351D23" w:rsidRPr="009B0F6E">
        <w:rPr>
          <w:rFonts w:ascii="Calibri" w:hAnsi="Calibri" w:cs="Calibri"/>
          <w:sz w:val="22"/>
          <w:szCs w:val="22"/>
        </w:rPr>
        <w:t xml:space="preserve"> </w:t>
      </w:r>
      <w:r w:rsidRPr="009B0F6E">
        <w:rPr>
          <w:rFonts w:ascii="Calibri" w:hAnsi="Calibri" w:cs="Calibri"/>
          <w:sz w:val="22"/>
          <w:szCs w:val="22"/>
        </w:rPr>
        <w:t>84% of patients at 12 months, with a closure rate of 99% when including cases with</w:t>
      </w:r>
      <w:r w:rsidR="00351D23" w:rsidRPr="009B0F6E">
        <w:rPr>
          <w:rFonts w:ascii="Calibri" w:hAnsi="Calibri" w:cs="Calibri"/>
          <w:sz w:val="22"/>
          <w:szCs w:val="22"/>
        </w:rPr>
        <w:t xml:space="preserve"> </w:t>
      </w:r>
      <w:r w:rsidRPr="009B0F6E">
        <w:rPr>
          <w:rFonts w:ascii="Calibri" w:hAnsi="Calibri" w:cs="Calibri"/>
          <w:sz w:val="22"/>
          <w:szCs w:val="22"/>
        </w:rPr>
        <w:t>residual communication of 5 mm or less.</w:t>
      </w:r>
      <w:r w:rsidRPr="009B0F6E">
        <w:rPr>
          <w:rFonts w:ascii="Calibri" w:hAnsi="Calibri" w:cs="Calibri"/>
          <w:sz w:val="22"/>
          <w:szCs w:val="22"/>
          <w:vertAlign w:val="superscript"/>
        </w:rPr>
        <w:t>3</w:t>
      </w:r>
      <w:r w:rsidR="00D12D68" w:rsidRPr="009B0F6E">
        <w:rPr>
          <w:rFonts w:ascii="Calibri" w:hAnsi="Calibri" w:cs="Calibri"/>
          <w:sz w:val="22"/>
          <w:szCs w:val="22"/>
          <w:vertAlign w:val="superscript"/>
        </w:rPr>
        <w:t>5</w:t>
      </w:r>
    </w:p>
    <w:p w14:paraId="5D8DB311" w14:textId="77777777" w:rsidR="00034C89" w:rsidRPr="009B0F6E" w:rsidRDefault="00034C89" w:rsidP="003A7AD9">
      <w:pPr>
        <w:widowControl w:val="0"/>
        <w:jc w:val="both"/>
        <w:rPr>
          <w:rFonts w:ascii="Calibri" w:hAnsi="Calibri" w:cs="Calibri"/>
          <w:sz w:val="22"/>
          <w:szCs w:val="22"/>
        </w:rPr>
      </w:pPr>
    </w:p>
    <w:p w14:paraId="30483699" w14:textId="4CABCD87" w:rsidR="00DD3127" w:rsidRPr="009B0F6E" w:rsidRDefault="00C1376C" w:rsidP="003A7AD9">
      <w:pPr>
        <w:widowControl w:val="0"/>
        <w:jc w:val="both"/>
        <w:rPr>
          <w:rFonts w:ascii="Calibri" w:hAnsi="Calibri" w:cs="Calibri"/>
          <w:sz w:val="22"/>
          <w:szCs w:val="22"/>
        </w:rPr>
      </w:pPr>
      <w:r w:rsidRPr="009B0F6E">
        <w:rPr>
          <w:rFonts w:ascii="Calibri" w:hAnsi="Calibri" w:cs="Calibri"/>
          <w:b/>
          <w:bCs/>
          <w:sz w:val="22"/>
          <w:szCs w:val="22"/>
        </w:rPr>
        <w:t>Clinical evidence in LAAC</w:t>
      </w:r>
    </w:p>
    <w:p w14:paraId="3048369A" w14:textId="1F751D33"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The evolution of LAAC technology has been closely paralleled by a robust body of clinical research aimed at establishing its safety, efficacy, and appropriate patient selection. Initial trials focused on proving non-inferiority to warfarin, the standard of care at the time these devices first emerged, while more recent studies have begun to explore comparisons with</w:t>
      </w:r>
      <w:r w:rsidR="00351D23" w:rsidRPr="009B0F6E">
        <w:rPr>
          <w:rFonts w:ascii="Calibri" w:hAnsi="Calibri" w:cs="Calibri"/>
          <w:sz w:val="22"/>
          <w:szCs w:val="22"/>
        </w:rPr>
        <w:t xml:space="preserve"> </w:t>
      </w:r>
      <w:r w:rsidRPr="009B0F6E">
        <w:rPr>
          <w:rFonts w:ascii="Calibri" w:hAnsi="Calibri" w:cs="Calibri"/>
          <w:sz w:val="22"/>
          <w:szCs w:val="22"/>
        </w:rPr>
        <w:t>direct oral anticoagulants (DOACs)</w:t>
      </w:r>
      <w:r w:rsidR="00351D23" w:rsidRPr="009B0F6E">
        <w:rPr>
          <w:rFonts w:ascii="Calibri" w:hAnsi="Calibri" w:cs="Calibri"/>
          <w:sz w:val="22"/>
          <w:szCs w:val="22"/>
        </w:rPr>
        <w:t xml:space="preserve"> </w:t>
      </w:r>
      <w:r w:rsidRPr="009B0F6E">
        <w:rPr>
          <w:rFonts w:ascii="Calibri" w:hAnsi="Calibri" w:cs="Calibri"/>
          <w:sz w:val="22"/>
          <w:szCs w:val="22"/>
        </w:rPr>
        <w:t>and investigations in</w:t>
      </w:r>
      <w:r w:rsidR="00351D23" w:rsidRPr="009B0F6E">
        <w:rPr>
          <w:rFonts w:ascii="Calibri" w:hAnsi="Calibri" w:cs="Calibri"/>
          <w:sz w:val="22"/>
          <w:szCs w:val="22"/>
        </w:rPr>
        <w:t xml:space="preserve"> </w:t>
      </w:r>
      <w:r w:rsidRPr="009B0F6E">
        <w:rPr>
          <w:rFonts w:ascii="Calibri" w:hAnsi="Calibri" w:cs="Calibri"/>
          <w:sz w:val="22"/>
          <w:szCs w:val="22"/>
        </w:rPr>
        <w:t>high bleeding risk populations.</w:t>
      </w:r>
    </w:p>
    <w:p w14:paraId="201B775B" w14:textId="77777777" w:rsidR="00034C89" w:rsidRPr="009B0F6E" w:rsidRDefault="00034C89" w:rsidP="003A7AD9">
      <w:pPr>
        <w:widowControl w:val="0"/>
        <w:jc w:val="both"/>
        <w:rPr>
          <w:rFonts w:ascii="Calibri" w:hAnsi="Calibri" w:cs="Calibri"/>
          <w:sz w:val="22"/>
          <w:szCs w:val="22"/>
        </w:rPr>
      </w:pPr>
    </w:p>
    <w:p w14:paraId="3048369B" w14:textId="6793231A" w:rsidR="00DD3127" w:rsidRPr="001E0E29" w:rsidRDefault="00C1376C" w:rsidP="003A7AD9">
      <w:pPr>
        <w:widowControl w:val="0"/>
        <w:jc w:val="both"/>
        <w:rPr>
          <w:rFonts w:ascii="Calibri" w:hAnsi="Calibri" w:cs="Calibri"/>
          <w:bCs/>
          <w:i/>
          <w:sz w:val="22"/>
          <w:szCs w:val="22"/>
        </w:rPr>
      </w:pPr>
      <w:r w:rsidRPr="001E0E29">
        <w:rPr>
          <w:rFonts w:ascii="Calibri" w:hAnsi="Calibri" w:cs="Calibri"/>
          <w:bCs/>
          <w:i/>
          <w:sz w:val="22"/>
          <w:szCs w:val="22"/>
        </w:rPr>
        <w:t>Warfarin era: PROTECT AF, PREVAIL, and long-term outcomes</w:t>
      </w:r>
    </w:p>
    <w:p w14:paraId="3048369C" w14:textId="6F86C762"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In the PROTECT AF trial (Watchman Left Atrial Appendage Closure Technology for Embolic Protection in Patients With Atrial Fibrillation), LAAC with Watchman device was shown to be feasible and non-inferior to OACs</w:t>
      </w:r>
      <w:r w:rsidR="00351D23" w:rsidRPr="009B0F6E">
        <w:rPr>
          <w:rFonts w:ascii="Calibri" w:hAnsi="Calibri" w:cs="Calibri"/>
          <w:sz w:val="22"/>
          <w:szCs w:val="22"/>
        </w:rPr>
        <w:t xml:space="preserve"> </w:t>
      </w:r>
      <w:r w:rsidRPr="009B0F6E">
        <w:rPr>
          <w:rFonts w:ascii="Calibri" w:hAnsi="Calibri" w:cs="Calibri"/>
          <w:sz w:val="22"/>
          <w:szCs w:val="22"/>
        </w:rPr>
        <w:t>with warfarin for the prevention of embolic stroke in patients with NVAF for the first time.</w:t>
      </w:r>
      <w:r w:rsidRPr="009B0F6E">
        <w:rPr>
          <w:rFonts w:ascii="Calibri" w:hAnsi="Calibri" w:cs="Calibri"/>
          <w:sz w:val="22"/>
          <w:szCs w:val="22"/>
          <w:vertAlign w:val="superscript"/>
        </w:rPr>
        <w:t>1</w:t>
      </w:r>
      <w:r w:rsidR="00D12D68" w:rsidRPr="009B0F6E">
        <w:rPr>
          <w:rFonts w:ascii="Calibri" w:hAnsi="Calibri" w:cs="Calibri"/>
          <w:sz w:val="22"/>
          <w:szCs w:val="22"/>
          <w:vertAlign w:val="superscript"/>
        </w:rPr>
        <w:t>4</w:t>
      </w:r>
      <w:r w:rsidRPr="009B0F6E">
        <w:rPr>
          <w:rFonts w:ascii="Calibri" w:hAnsi="Calibri" w:cs="Calibri"/>
          <w:sz w:val="22"/>
          <w:szCs w:val="22"/>
        </w:rPr>
        <w:t xml:space="preserve"> However, the study registered a higher-than-expected rate of complications, mainly pericardial effusions and air embolism-related strokes. Additionally, a potential population selection bias may have played a role, given the low median CHADS</w:t>
      </w:r>
      <w:r w:rsidR="00351D23" w:rsidRPr="001E0E29">
        <w:rPr>
          <w:rFonts w:ascii="Calibri" w:hAnsi="Calibri" w:cs="Calibri"/>
          <w:sz w:val="22"/>
          <w:szCs w:val="22"/>
          <w:vertAlign w:val="subscript"/>
        </w:rPr>
        <w:t>2</w:t>
      </w:r>
      <w:r w:rsidRPr="009B0F6E">
        <w:rPr>
          <w:rFonts w:ascii="Calibri" w:hAnsi="Calibri" w:cs="Calibri"/>
          <w:sz w:val="22"/>
          <w:szCs w:val="22"/>
        </w:rPr>
        <w:t xml:space="preserve"> score in this population.</w:t>
      </w:r>
    </w:p>
    <w:p w14:paraId="66056597" w14:textId="77777777" w:rsidR="00DC4445" w:rsidRPr="009B0F6E" w:rsidRDefault="00DC4445" w:rsidP="003A7AD9">
      <w:pPr>
        <w:widowControl w:val="0"/>
        <w:jc w:val="both"/>
        <w:rPr>
          <w:rFonts w:ascii="Calibri" w:hAnsi="Calibri" w:cs="Calibri"/>
          <w:sz w:val="22"/>
          <w:szCs w:val="22"/>
        </w:rPr>
      </w:pPr>
    </w:p>
    <w:p w14:paraId="3048369D" w14:textId="69A813E8" w:rsidR="00DD3127" w:rsidRPr="009B0F6E" w:rsidRDefault="00C1376C" w:rsidP="003A7AD9">
      <w:pPr>
        <w:widowControl w:val="0"/>
        <w:jc w:val="both"/>
        <w:rPr>
          <w:rFonts w:ascii="Calibri" w:hAnsi="Calibri" w:cs="Calibri"/>
          <w:sz w:val="22"/>
          <w:szCs w:val="22"/>
          <w:shd w:val="clear" w:color="auto" w:fill="FFFFFF"/>
        </w:rPr>
      </w:pPr>
      <w:r w:rsidRPr="009B0F6E">
        <w:rPr>
          <w:rFonts w:ascii="Calibri" w:hAnsi="Calibri" w:cs="Calibri"/>
          <w:sz w:val="22"/>
          <w:szCs w:val="22"/>
        </w:rPr>
        <w:t>To address these early safety concerns and methodological issues, Watchman investigators re-evaluated the device in the PREVAIL trial (Prospective Randomized Evaluation of the Watchman LAA Closure Device in Patients with Atrial Fibrillation versus Long-Term Warfarin Therapy). In this study, both the acute procedural success rate and the safety profile improved, aligning more closely with the outcomes reported in the later phase of the PROTECT AF study and the CAP 1 (Continued Access to PROTECT AF) registry.</w:t>
      </w:r>
      <w:r w:rsidRPr="009B0F6E">
        <w:rPr>
          <w:rFonts w:ascii="Calibri" w:hAnsi="Calibri" w:cs="Calibri"/>
          <w:sz w:val="22"/>
          <w:szCs w:val="22"/>
          <w:vertAlign w:val="superscript"/>
        </w:rPr>
        <w:t>3</w:t>
      </w:r>
      <w:r w:rsidR="00D12D68" w:rsidRPr="009B0F6E">
        <w:rPr>
          <w:rFonts w:ascii="Calibri" w:hAnsi="Calibri" w:cs="Calibri"/>
          <w:sz w:val="22"/>
          <w:szCs w:val="22"/>
          <w:vertAlign w:val="superscript"/>
        </w:rPr>
        <w:t>7</w:t>
      </w:r>
      <w:r w:rsidRPr="009B0F6E">
        <w:rPr>
          <w:rFonts w:ascii="Calibri" w:hAnsi="Calibri" w:cs="Calibri"/>
          <w:sz w:val="22"/>
          <w:szCs w:val="22"/>
        </w:rPr>
        <w:t xml:space="preserve"> The 7-day procedure-related complication rate (defined as </w:t>
      </w:r>
      <w:r w:rsidRPr="009B0F6E">
        <w:rPr>
          <w:rFonts w:ascii="Calibri" w:hAnsi="Calibri" w:cs="Calibri"/>
          <w:sz w:val="22"/>
          <w:szCs w:val="22"/>
          <w:shd w:val="clear" w:color="auto" w:fill="FFFFFF"/>
        </w:rPr>
        <w:t xml:space="preserve">composite of cardiac perforation, pericardial effusion with tamponade, ischemic stroke, device embolization, and other vascular complications) </w:t>
      </w:r>
      <w:r w:rsidRPr="009B0F6E">
        <w:rPr>
          <w:rFonts w:ascii="Calibri" w:hAnsi="Calibri" w:cs="Calibri"/>
          <w:sz w:val="22"/>
          <w:szCs w:val="22"/>
        </w:rPr>
        <w:t>was 4.2% compared to 8.7% in the PROTECT trial (</w:t>
      </w:r>
      <w:r w:rsidRPr="009B0F6E">
        <w:rPr>
          <w:rFonts w:ascii="Calibri" w:hAnsi="Calibri" w:cs="Calibri"/>
          <w:sz w:val="22"/>
          <w:szCs w:val="22"/>
          <w:shd w:val="clear" w:color="auto" w:fill="FFFFFF"/>
        </w:rPr>
        <w:t>P</w:t>
      </w:r>
      <w:r w:rsidR="00351D23" w:rsidRPr="009B0F6E">
        <w:rPr>
          <w:rFonts w:ascii="Calibri" w:hAnsi="Calibri" w:cs="Calibri"/>
          <w:sz w:val="22"/>
          <w:szCs w:val="22"/>
          <w:shd w:val="clear" w:color="auto" w:fill="FFFFFF"/>
        </w:rPr>
        <w:t xml:space="preserve"> </w:t>
      </w:r>
      <w:r w:rsidRPr="009B0F6E">
        <w:rPr>
          <w:rFonts w:ascii="Calibri" w:hAnsi="Calibri" w:cs="Calibri"/>
          <w:sz w:val="22"/>
          <w:szCs w:val="22"/>
          <w:shd w:val="clear" w:color="auto" w:fill="FFFFFF"/>
        </w:rPr>
        <w:t>= 0.004). In addition, it was detected a decrease in the rate of pericardial effusions requiring surgical intervention (from 1.6% to 0.4%, P</w:t>
      </w:r>
      <w:r w:rsidR="00351D23" w:rsidRPr="009B0F6E">
        <w:rPr>
          <w:rFonts w:ascii="Calibri" w:hAnsi="Calibri" w:cs="Calibri"/>
          <w:sz w:val="22"/>
          <w:szCs w:val="22"/>
          <w:shd w:val="clear" w:color="auto" w:fill="FFFFFF"/>
        </w:rPr>
        <w:t xml:space="preserve"> </w:t>
      </w:r>
      <w:r w:rsidRPr="009B0F6E">
        <w:rPr>
          <w:rFonts w:ascii="Calibri" w:hAnsi="Calibri" w:cs="Calibri"/>
          <w:sz w:val="22"/>
          <w:szCs w:val="22"/>
          <w:shd w:val="clear" w:color="auto" w:fill="FFFFFF"/>
        </w:rPr>
        <w:t>= 0.027) and of procedural and device-related strokes (from 1.1% to 0.4%, P</w:t>
      </w:r>
      <w:r w:rsidR="00351D23" w:rsidRPr="009B0F6E">
        <w:rPr>
          <w:rFonts w:ascii="Calibri" w:hAnsi="Calibri" w:cs="Calibri"/>
          <w:sz w:val="22"/>
          <w:szCs w:val="22"/>
          <w:shd w:val="clear" w:color="auto" w:fill="FFFFFF"/>
        </w:rPr>
        <w:t xml:space="preserve"> </w:t>
      </w:r>
      <w:r w:rsidRPr="009B0F6E">
        <w:rPr>
          <w:rFonts w:ascii="Calibri" w:hAnsi="Calibri" w:cs="Calibri"/>
          <w:sz w:val="22"/>
          <w:szCs w:val="22"/>
          <w:shd w:val="clear" w:color="auto" w:fill="FFFFFF"/>
        </w:rPr>
        <w:t>= 0.007).</w:t>
      </w:r>
      <w:r w:rsidR="00D12D68" w:rsidRPr="009B0F6E">
        <w:rPr>
          <w:rFonts w:ascii="Calibri" w:hAnsi="Calibri" w:cs="Calibri"/>
          <w:sz w:val="22"/>
          <w:szCs w:val="22"/>
          <w:vertAlign w:val="superscript"/>
        </w:rPr>
        <w:t>17</w:t>
      </w:r>
      <w:r w:rsidRPr="009B0F6E">
        <w:rPr>
          <w:rFonts w:ascii="Calibri" w:hAnsi="Calibri" w:cs="Calibri"/>
          <w:sz w:val="22"/>
          <w:szCs w:val="22"/>
          <w:shd w:val="clear" w:color="auto" w:fill="FFFFFF"/>
        </w:rPr>
        <w:t xml:space="preserve"> Nevertheless, the trial </w:t>
      </w:r>
      <w:r w:rsidRPr="009B0F6E">
        <w:rPr>
          <w:rFonts w:ascii="Calibri" w:hAnsi="Calibri" w:cs="Calibri"/>
          <w:sz w:val="22"/>
          <w:szCs w:val="22"/>
        </w:rPr>
        <w:t xml:space="preserve">failed to meet the primary efficacy endpoint due to the low event rate. </w:t>
      </w:r>
      <w:r w:rsidRPr="009B0F6E">
        <w:rPr>
          <w:rFonts w:ascii="Calibri" w:hAnsi="Calibri" w:cs="Calibri"/>
          <w:sz w:val="22"/>
          <w:szCs w:val="22"/>
          <w:shd w:val="clear" w:color="auto" w:fill="FFFFFF"/>
        </w:rPr>
        <w:t>The combined 5-year outcome analysis of the PREVAIL and PROTECT AF trials showed revealed a comparable risk of all-stroke with LAAC compared to warfarin (HR 0.96; 95% CI, 0.60–1.54; P = 0.87), but a significant reduction in hemorrhagic stroke (HR 0.45; 95% CI, 0.21–0.94; P = 0.034), cardiovascular, and all-cause mortality (HR 0.59; 95% CI, 0.37–0.94; P = 0.027; and HR 0.73; 95% CI, 0.54–0.98; P = 0.035, respectively).</w:t>
      </w:r>
      <w:r w:rsidR="00D12D68" w:rsidRPr="009B0F6E">
        <w:rPr>
          <w:rFonts w:ascii="Calibri" w:hAnsi="Calibri" w:cs="Calibri"/>
          <w:sz w:val="22"/>
          <w:szCs w:val="22"/>
          <w:vertAlign w:val="superscript"/>
        </w:rPr>
        <w:t>38</w:t>
      </w:r>
      <w:r w:rsidRPr="009B0F6E">
        <w:rPr>
          <w:rFonts w:ascii="Calibri" w:hAnsi="Calibri" w:cs="Calibri"/>
          <w:sz w:val="22"/>
          <w:szCs w:val="22"/>
          <w:shd w:val="clear" w:color="auto" w:fill="FFFFFF"/>
        </w:rPr>
        <w:t xml:space="preserve"> Moreover, after excluding procedure-related events, significantly lower bleeding were observed in the LAAC group (HR 0.48; 95% CI, 0.32–0.71; P = 0.0003).</w:t>
      </w:r>
      <w:r w:rsidRPr="009B0F6E">
        <w:rPr>
          <w:rFonts w:ascii="Calibri" w:hAnsi="Calibri" w:cs="Calibri"/>
          <w:sz w:val="22"/>
          <w:szCs w:val="22"/>
        </w:rPr>
        <w:t xml:space="preserve"> </w:t>
      </w:r>
      <w:r w:rsidRPr="009B0F6E">
        <w:rPr>
          <w:rFonts w:ascii="Calibri" w:hAnsi="Calibri" w:cs="Calibri"/>
          <w:sz w:val="22"/>
          <w:szCs w:val="22"/>
          <w:shd w:val="clear" w:color="auto" w:fill="FFFFFF"/>
        </w:rPr>
        <w:t>However, these large RCTs lacked a comparison with DOACs and did not include patients deemed unsuitable for long-term OAC therapy, the group most likely to benefit from the LAAC procedure. Additionally, it is important to note that all patients undergoing LAAC received short-term OAC therapy for at least six weeks post-procedure. While this period is considered necessary for complete endothelialization of the device, it may not be feasible for patients at high risk of bleeding.</w:t>
      </w:r>
    </w:p>
    <w:p w14:paraId="78174BFC" w14:textId="77777777" w:rsidR="00DC4445" w:rsidRPr="009B0F6E" w:rsidRDefault="00DC4445" w:rsidP="003A7AD9">
      <w:pPr>
        <w:widowControl w:val="0"/>
        <w:jc w:val="both"/>
        <w:rPr>
          <w:rFonts w:ascii="Calibri" w:hAnsi="Calibri" w:cs="Calibri"/>
          <w:sz w:val="22"/>
          <w:szCs w:val="22"/>
          <w:shd w:val="clear" w:color="auto" w:fill="FFFFFF"/>
        </w:rPr>
      </w:pPr>
    </w:p>
    <w:p w14:paraId="3048369E" w14:textId="7D0AA9EC"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shd w:val="clear" w:color="auto" w:fill="FFFFFF"/>
        </w:rPr>
        <w:t>The feasibility of a non-OAC transitional pharmacological regimen post-LAAC with Watchman was explored in the observational ASAP (ASA Plavix Feasibility Study With Watchman Left Atrial Appendage Closure Technology) study, in which consecutive AF patients ineligible for warfarin were treated with LAAC followed by DAPT.</w:t>
      </w:r>
      <w:r w:rsidR="00D12D68" w:rsidRPr="009B0F6E">
        <w:rPr>
          <w:rFonts w:ascii="Calibri" w:hAnsi="Calibri" w:cs="Calibri"/>
          <w:sz w:val="22"/>
          <w:szCs w:val="22"/>
          <w:vertAlign w:val="superscript"/>
        </w:rPr>
        <w:t>39</w:t>
      </w:r>
      <w:r w:rsidRPr="009B0F6E">
        <w:rPr>
          <w:rFonts w:ascii="Calibri" w:hAnsi="Calibri" w:cs="Calibri"/>
          <w:sz w:val="22"/>
          <w:szCs w:val="22"/>
          <w:shd w:val="clear" w:color="auto" w:fill="FFFFFF"/>
        </w:rPr>
        <w:t xml:space="preserve"> This registry enrolled AF patients with an average CHADS</w:t>
      </w:r>
      <w:r w:rsidR="00351D23" w:rsidRPr="009B0F6E">
        <w:rPr>
          <w:rFonts w:ascii="Calibri" w:hAnsi="Calibri" w:cs="Calibri"/>
          <w:sz w:val="22"/>
          <w:szCs w:val="22"/>
          <w:vertAlign w:val="subscript"/>
        </w:rPr>
        <w:t>2</w:t>
      </w:r>
      <w:r w:rsidRPr="009B0F6E">
        <w:rPr>
          <w:rFonts w:ascii="Calibri" w:hAnsi="Calibri" w:cs="Calibri"/>
          <w:sz w:val="22"/>
          <w:szCs w:val="22"/>
          <w:shd w:val="clear" w:color="auto" w:fill="FFFFFF"/>
        </w:rPr>
        <w:t xml:space="preserve"> score of 2.8, corresponding to an expected annual ischemic stroke rate of 7.3% if treated with aspirin alone.</w:t>
      </w:r>
      <w:r w:rsidRPr="009B0F6E">
        <w:rPr>
          <w:rFonts w:ascii="Calibri" w:hAnsi="Calibri" w:cs="Calibri"/>
          <w:sz w:val="22"/>
          <w:szCs w:val="22"/>
          <w:vertAlign w:val="superscript"/>
        </w:rPr>
        <w:t>4</w:t>
      </w:r>
      <w:r w:rsidR="00D12D68" w:rsidRPr="009B0F6E">
        <w:rPr>
          <w:rFonts w:ascii="Calibri" w:hAnsi="Calibri" w:cs="Calibri"/>
          <w:sz w:val="22"/>
          <w:szCs w:val="22"/>
          <w:vertAlign w:val="superscript"/>
        </w:rPr>
        <w:t>0</w:t>
      </w:r>
      <w:r w:rsidRPr="009B0F6E">
        <w:rPr>
          <w:rFonts w:ascii="Calibri" w:hAnsi="Calibri" w:cs="Calibri"/>
          <w:sz w:val="22"/>
          <w:szCs w:val="22"/>
          <w:shd w:val="clear" w:color="auto" w:fill="FFFFFF"/>
        </w:rPr>
        <w:t xml:space="preserve"> However, the observed stroke rate was only 1.7%, a 77% reduction compared to the expected rate.</w:t>
      </w:r>
      <w:r w:rsidRPr="009B0F6E">
        <w:rPr>
          <w:rFonts w:ascii="Calibri" w:hAnsi="Calibri" w:cs="Calibri"/>
          <w:sz w:val="22"/>
          <w:szCs w:val="22"/>
        </w:rPr>
        <w:t xml:space="preserve"> </w:t>
      </w:r>
      <w:r w:rsidRPr="009B0F6E">
        <w:rPr>
          <w:rFonts w:ascii="Calibri" w:hAnsi="Calibri" w:cs="Calibri"/>
          <w:sz w:val="22"/>
          <w:szCs w:val="22"/>
          <w:shd w:val="clear" w:color="auto" w:fill="FFFFFF"/>
        </w:rPr>
        <w:t>Patients in the ASAP study also received a 6-months treatment with Clopidogrel, a drug shown in the ACTIVE A trial to reduce risk of stroke by 32% compared to aspirin alone.</w:t>
      </w:r>
      <w:r w:rsidRPr="009B0F6E">
        <w:rPr>
          <w:rFonts w:ascii="Calibri" w:hAnsi="Calibri" w:cs="Calibri"/>
          <w:sz w:val="22"/>
          <w:szCs w:val="22"/>
          <w:vertAlign w:val="superscript"/>
        </w:rPr>
        <w:t>4</w:t>
      </w:r>
      <w:r w:rsidR="00D12D68" w:rsidRPr="009B0F6E">
        <w:rPr>
          <w:rFonts w:ascii="Calibri" w:hAnsi="Calibri" w:cs="Calibri"/>
          <w:sz w:val="22"/>
          <w:szCs w:val="22"/>
          <w:vertAlign w:val="superscript"/>
        </w:rPr>
        <w:t>1</w:t>
      </w:r>
      <w:r w:rsidRPr="009B0F6E">
        <w:rPr>
          <w:rFonts w:ascii="Calibri" w:hAnsi="Calibri" w:cs="Calibri"/>
          <w:sz w:val="22"/>
          <w:szCs w:val="22"/>
        </w:rPr>
        <w:t xml:space="preserve"> Even after adjusting the expected stroke rate to 5.0% to account for this benefit (although the patients in the ASAP registry did not receive long term Clopidogrel), the observed 1.7% rate still reflected a 64% reduction, indicating a greater-than-expected protective effect. The annualized rates of all-cause stroke and ischemic stroke reported for the ASAP study also were similar to the ones reported in the PROTECT AF trial (2.3% and 1.7%, respectively). Despite the non-randomized design and absence of a control group, the results supported the feasibility of a DAPT-based transitional strategy without an apparent increase in stroke risk.</w:t>
      </w:r>
    </w:p>
    <w:p w14:paraId="58BEB247" w14:textId="77777777" w:rsidR="00034C89" w:rsidRPr="009B0F6E" w:rsidRDefault="00034C89" w:rsidP="003A7AD9">
      <w:pPr>
        <w:widowControl w:val="0"/>
        <w:jc w:val="both"/>
        <w:rPr>
          <w:rFonts w:ascii="Calibri" w:hAnsi="Calibri" w:cs="Calibri"/>
          <w:sz w:val="22"/>
          <w:szCs w:val="22"/>
          <w:shd w:val="clear" w:color="auto" w:fill="FFFFFF"/>
        </w:rPr>
      </w:pPr>
    </w:p>
    <w:p w14:paraId="3048369F" w14:textId="3B52E189" w:rsidR="00DD3127" w:rsidRPr="001E0E29" w:rsidRDefault="00C1376C" w:rsidP="003A7AD9">
      <w:pPr>
        <w:widowControl w:val="0"/>
        <w:jc w:val="both"/>
        <w:rPr>
          <w:rFonts w:ascii="Calibri" w:hAnsi="Calibri" w:cs="Calibri"/>
          <w:bCs/>
          <w:i/>
          <w:sz w:val="22"/>
          <w:szCs w:val="22"/>
        </w:rPr>
      </w:pPr>
      <w:r w:rsidRPr="001E0E29">
        <w:rPr>
          <w:rFonts w:ascii="Calibri" w:hAnsi="Calibri" w:cs="Calibri"/>
          <w:bCs/>
          <w:i/>
          <w:sz w:val="22"/>
          <w:szCs w:val="22"/>
        </w:rPr>
        <w:t>DOAC era</w:t>
      </w:r>
    </w:p>
    <w:p w14:paraId="304836A0" w14:textId="1EF65697"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As DOACs became the new standard of care</w:t>
      </w:r>
      <w:proofErr w:type="gramStart"/>
      <w:r w:rsidRPr="009B0F6E">
        <w:rPr>
          <w:rFonts w:ascii="Calibri" w:hAnsi="Calibri" w:cs="Calibri"/>
          <w:sz w:val="22"/>
          <w:szCs w:val="22"/>
        </w:rPr>
        <w:t>,</w:t>
      </w:r>
      <w:r w:rsidRPr="009B0F6E">
        <w:rPr>
          <w:rFonts w:ascii="Calibri" w:hAnsi="Calibri" w:cs="Calibri"/>
          <w:sz w:val="22"/>
          <w:szCs w:val="22"/>
          <w:vertAlign w:val="superscript"/>
        </w:rPr>
        <w:t>4</w:t>
      </w:r>
      <w:r w:rsidR="00D12D68" w:rsidRPr="009B0F6E">
        <w:rPr>
          <w:rFonts w:ascii="Calibri" w:hAnsi="Calibri" w:cs="Calibri"/>
          <w:sz w:val="22"/>
          <w:szCs w:val="22"/>
          <w:vertAlign w:val="superscript"/>
        </w:rPr>
        <w:t>2</w:t>
      </w:r>
      <w:proofErr w:type="gramEnd"/>
      <w:r w:rsidRPr="009B0F6E">
        <w:rPr>
          <w:rFonts w:ascii="Calibri" w:hAnsi="Calibri" w:cs="Calibri"/>
          <w:sz w:val="22"/>
          <w:szCs w:val="22"/>
          <w:vertAlign w:val="superscript"/>
        </w:rPr>
        <w:t>–4</w:t>
      </w:r>
      <w:r w:rsidR="00D12D68" w:rsidRPr="009B0F6E">
        <w:rPr>
          <w:rFonts w:ascii="Calibri" w:hAnsi="Calibri" w:cs="Calibri"/>
          <w:sz w:val="22"/>
          <w:szCs w:val="22"/>
          <w:vertAlign w:val="superscript"/>
        </w:rPr>
        <w:t>4</w:t>
      </w:r>
      <w:r w:rsidRPr="009B0F6E">
        <w:rPr>
          <w:rFonts w:ascii="Calibri" w:hAnsi="Calibri" w:cs="Calibri"/>
          <w:sz w:val="22"/>
          <w:szCs w:val="22"/>
        </w:rPr>
        <w:t xml:space="preserve"> the more recent LAAC trials aim to test whether a non-pharmacological stroke management strategy could remain a viable alternative. According to the current American and European guidelines, LAAC may be considered for AF patients</w:t>
      </w:r>
      <w:r w:rsidR="00351D23" w:rsidRPr="009B0F6E">
        <w:rPr>
          <w:rFonts w:ascii="Calibri" w:hAnsi="Calibri" w:cs="Calibri"/>
          <w:sz w:val="22"/>
          <w:szCs w:val="22"/>
        </w:rPr>
        <w:t xml:space="preserve"> </w:t>
      </w:r>
      <w:r w:rsidRPr="009B0F6E">
        <w:rPr>
          <w:rFonts w:ascii="Calibri" w:hAnsi="Calibri" w:cs="Calibri"/>
          <w:sz w:val="22"/>
          <w:szCs w:val="22"/>
        </w:rPr>
        <w:t>with contraindications to long-term OAC, such as history of intracranial hemorrhage, recurrent mucosal (i.e., gastrointestinal, pulmonary or genitourinary) bleeding, active malignancy associated with a high bleeding risk, documented bleeding diatheses, and chronic kidney disease. In addition, clinical scenarios such as frequent traumatic falls due to non-reversible causes in frail patients may be recognized as a valid reason to consider LAAC in place of anticoagulation.</w:t>
      </w:r>
      <w:r w:rsidRPr="009B0F6E">
        <w:rPr>
          <w:rFonts w:ascii="Calibri" w:hAnsi="Calibri" w:cs="Calibri"/>
          <w:sz w:val="22"/>
          <w:szCs w:val="22"/>
          <w:vertAlign w:val="superscript"/>
        </w:rPr>
        <w:t>3–5</w:t>
      </w:r>
      <w:proofErr w:type="gramStart"/>
      <w:r w:rsidRPr="009B0F6E">
        <w:rPr>
          <w:rFonts w:ascii="Calibri" w:hAnsi="Calibri" w:cs="Calibri"/>
          <w:sz w:val="22"/>
          <w:szCs w:val="22"/>
          <w:vertAlign w:val="superscript"/>
        </w:rPr>
        <w:t>,4</w:t>
      </w:r>
      <w:r w:rsidR="00D12D68" w:rsidRPr="009B0F6E">
        <w:rPr>
          <w:rFonts w:ascii="Calibri" w:hAnsi="Calibri" w:cs="Calibri"/>
          <w:sz w:val="22"/>
          <w:szCs w:val="22"/>
          <w:vertAlign w:val="superscript"/>
        </w:rPr>
        <w:t>5</w:t>
      </w:r>
      <w:r w:rsidRPr="009B0F6E">
        <w:rPr>
          <w:rFonts w:ascii="Calibri" w:hAnsi="Calibri" w:cs="Calibri"/>
          <w:sz w:val="22"/>
          <w:szCs w:val="22"/>
          <w:vertAlign w:val="superscript"/>
        </w:rPr>
        <w:t>,4</w:t>
      </w:r>
      <w:r w:rsidR="00D12D68" w:rsidRPr="009B0F6E">
        <w:rPr>
          <w:rFonts w:ascii="Calibri" w:hAnsi="Calibri" w:cs="Calibri"/>
          <w:sz w:val="22"/>
          <w:szCs w:val="22"/>
          <w:vertAlign w:val="superscript"/>
        </w:rPr>
        <w:t>6</w:t>
      </w:r>
      <w:proofErr w:type="gramEnd"/>
      <w:r w:rsidRPr="009B0F6E">
        <w:rPr>
          <w:rFonts w:ascii="Calibri" w:hAnsi="Calibri" w:cs="Calibri"/>
          <w:sz w:val="22"/>
          <w:szCs w:val="22"/>
        </w:rPr>
        <w:t xml:space="preserve"> Based on the 2023 ACC/AHA, 2024 ESC and 2025 SCAI/HRS recommendations, a practical, guideline-based algorithm for the selection of candidates for surgical or percutaneous LAAC is summarized in </w:t>
      </w:r>
      <w:r w:rsidRPr="009B0F6E">
        <w:rPr>
          <w:rFonts w:ascii="Calibri" w:hAnsi="Calibri" w:cs="Calibri"/>
          <w:b/>
          <w:bCs/>
          <w:sz w:val="22"/>
          <w:szCs w:val="22"/>
        </w:rPr>
        <w:t>Figure 1</w:t>
      </w:r>
      <w:r w:rsidRPr="009B0F6E">
        <w:rPr>
          <w:rFonts w:ascii="Calibri" w:hAnsi="Calibri" w:cs="Calibri"/>
          <w:sz w:val="22"/>
          <w:szCs w:val="22"/>
        </w:rPr>
        <w:t>. The flowchart integrates stroke risk (CHA</w:t>
      </w:r>
      <w:r w:rsidR="00351D23" w:rsidRPr="009B0F6E">
        <w:rPr>
          <w:rFonts w:ascii="Calibri" w:hAnsi="Calibri" w:cs="Calibri"/>
          <w:sz w:val="22"/>
          <w:szCs w:val="22"/>
          <w:vertAlign w:val="subscript"/>
        </w:rPr>
        <w:t>2</w:t>
      </w:r>
      <w:r w:rsidRPr="009B0F6E">
        <w:rPr>
          <w:rFonts w:ascii="Calibri" w:hAnsi="Calibri" w:cs="Calibri"/>
          <w:sz w:val="22"/>
          <w:szCs w:val="22"/>
        </w:rPr>
        <w:t>DS</w:t>
      </w:r>
      <w:r w:rsidR="00351D23" w:rsidRPr="009B0F6E">
        <w:rPr>
          <w:rFonts w:ascii="Calibri" w:hAnsi="Calibri" w:cs="Calibri"/>
          <w:sz w:val="22"/>
          <w:szCs w:val="22"/>
          <w:vertAlign w:val="subscript"/>
        </w:rPr>
        <w:t>2</w:t>
      </w:r>
      <w:r w:rsidRPr="009B0F6E">
        <w:rPr>
          <w:rFonts w:ascii="Calibri" w:hAnsi="Calibri" w:cs="Calibri"/>
          <w:sz w:val="22"/>
          <w:szCs w:val="22"/>
        </w:rPr>
        <w:t>-VASc), OAC contraindications or intolerance, high bleeding risk, and post-ablation status to guide when LAAC may be considered as an alternative or adjunct to oral anticoagulation.</w:t>
      </w:r>
    </w:p>
    <w:p w14:paraId="30CB0599" w14:textId="77777777" w:rsidR="00DC4445" w:rsidRPr="009B0F6E" w:rsidRDefault="00DC4445" w:rsidP="003A7AD9">
      <w:pPr>
        <w:widowControl w:val="0"/>
        <w:jc w:val="both"/>
        <w:rPr>
          <w:rFonts w:ascii="Calibri" w:hAnsi="Calibri" w:cs="Calibri"/>
          <w:sz w:val="22"/>
          <w:szCs w:val="22"/>
        </w:rPr>
      </w:pPr>
    </w:p>
    <w:p w14:paraId="77A28C94" w14:textId="04CA9DC1" w:rsidR="00DC4445" w:rsidRPr="001E0E29" w:rsidRDefault="00C1376C" w:rsidP="003A7AD9">
      <w:pPr>
        <w:pStyle w:val="NormalWeb"/>
        <w:widowControl w:val="0"/>
        <w:jc w:val="both"/>
        <w:rPr>
          <w:rFonts w:ascii="Calibri" w:hAnsi="Calibri" w:cs="Calibri"/>
          <w:sz w:val="22"/>
          <w:szCs w:val="22"/>
          <w:lang w:val="en-US"/>
        </w:rPr>
      </w:pPr>
      <w:r w:rsidRPr="009B0F6E">
        <w:rPr>
          <w:rFonts w:ascii="Calibri" w:hAnsi="Calibri" w:cs="Calibri"/>
          <w:sz w:val="22"/>
          <w:szCs w:val="22"/>
        </w:rPr>
        <w:t>Several evidence support the use of LAAC in routine clinical practice</w:t>
      </w:r>
      <w:r w:rsidR="006163D1" w:rsidRPr="009B0F6E">
        <w:rPr>
          <w:rFonts w:ascii="Calibri" w:hAnsi="Calibri" w:cs="Calibri"/>
          <w:sz w:val="22"/>
          <w:szCs w:val="22"/>
        </w:rPr>
        <w:t xml:space="preserve"> </w:t>
      </w:r>
      <w:r w:rsidR="006163D1" w:rsidRPr="001E0E29">
        <w:rPr>
          <w:rFonts w:ascii="Calibri" w:hAnsi="Calibri" w:cs="Calibri"/>
          <w:b/>
          <w:sz w:val="22"/>
          <w:szCs w:val="22"/>
        </w:rPr>
        <w:t>(Table 3</w:t>
      </w:r>
      <w:r w:rsidR="00C205A1" w:rsidRPr="001E0E29">
        <w:rPr>
          <w:rFonts w:ascii="Calibri" w:hAnsi="Calibri" w:cs="Calibri"/>
          <w:b/>
          <w:sz w:val="22"/>
          <w:szCs w:val="22"/>
        </w:rPr>
        <w:t>)</w:t>
      </w:r>
      <w:r w:rsidR="006163D1" w:rsidRPr="009B0F6E">
        <w:rPr>
          <w:rFonts w:ascii="Calibri" w:hAnsi="Calibri" w:cs="Calibri"/>
          <w:sz w:val="22"/>
          <w:szCs w:val="22"/>
        </w:rPr>
        <w:t>.</w:t>
      </w:r>
      <w:r w:rsidRPr="009B0F6E">
        <w:rPr>
          <w:rFonts w:ascii="Calibri" w:hAnsi="Calibri" w:cs="Calibri"/>
          <w:sz w:val="22"/>
          <w:szCs w:val="22"/>
        </w:rPr>
        <w:t xml:space="preserve"> Aggregate data from large-scale registries (i.e., the EWOLUTION registry for Watchman devices and the global Amulet study) continue to provide optimal data on the efficacy and the safety profile of LAAC </w:t>
      </w:r>
      <w:r w:rsidRPr="001E0E29">
        <w:rPr>
          <w:rFonts w:ascii="Calibri" w:hAnsi="Calibri" w:cs="Calibri"/>
          <w:b/>
          <w:sz w:val="22"/>
          <w:szCs w:val="22"/>
        </w:rPr>
        <w:t>(</w:t>
      </w:r>
      <w:r w:rsidRPr="009B0F6E">
        <w:rPr>
          <w:rFonts w:ascii="Calibri" w:hAnsi="Calibri" w:cs="Calibri"/>
          <w:b/>
          <w:bCs/>
          <w:sz w:val="22"/>
          <w:szCs w:val="22"/>
        </w:rPr>
        <w:t>Table 2</w:t>
      </w:r>
      <w:r w:rsidRPr="001E0E29">
        <w:rPr>
          <w:rFonts w:ascii="Calibri" w:hAnsi="Calibri" w:cs="Calibri"/>
          <w:b/>
          <w:sz w:val="22"/>
          <w:szCs w:val="22"/>
        </w:rPr>
        <w:t>)</w:t>
      </w:r>
      <w:r w:rsidRPr="009B0F6E">
        <w:rPr>
          <w:rFonts w:ascii="Calibri" w:hAnsi="Calibri" w:cs="Calibri"/>
          <w:sz w:val="22"/>
          <w:szCs w:val="22"/>
        </w:rPr>
        <w:t>. Recent studies also reveal improved outcomes, likely attributable to enhanced procedural planning, advancements in device design and surface characteristics, and greater operator experience.</w:t>
      </w:r>
      <w:r w:rsidRPr="009B0F6E">
        <w:rPr>
          <w:rFonts w:ascii="Calibri" w:hAnsi="Calibri" w:cs="Calibri"/>
          <w:sz w:val="22"/>
          <w:szCs w:val="22"/>
          <w:vertAlign w:val="superscript"/>
        </w:rPr>
        <w:t>2</w:t>
      </w:r>
      <w:r w:rsidR="00D12D68" w:rsidRPr="009B0F6E">
        <w:rPr>
          <w:rFonts w:ascii="Calibri" w:hAnsi="Calibri" w:cs="Calibri"/>
          <w:sz w:val="22"/>
          <w:szCs w:val="22"/>
          <w:vertAlign w:val="superscript"/>
        </w:rPr>
        <w:t>6</w:t>
      </w:r>
      <w:r w:rsidRPr="009B0F6E">
        <w:rPr>
          <w:rFonts w:ascii="Calibri" w:hAnsi="Calibri" w:cs="Calibri"/>
          <w:sz w:val="22"/>
          <w:szCs w:val="22"/>
          <w:vertAlign w:val="superscript"/>
        </w:rPr>
        <w:t>,4</w:t>
      </w:r>
      <w:r w:rsidR="00D12D68" w:rsidRPr="009B0F6E">
        <w:rPr>
          <w:rFonts w:ascii="Calibri" w:hAnsi="Calibri" w:cs="Calibri"/>
          <w:sz w:val="22"/>
          <w:szCs w:val="22"/>
          <w:vertAlign w:val="superscript"/>
        </w:rPr>
        <w:t>7</w:t>
      </w:r>
      <w:r w:rsidRPr="009B0F6E">
        <w:rPr>
          <w:rFonts w:ascii="Calibri" w:hAnsi="Calibri" w:cs="Calibri"/>
          <w:sz w:val="22"/>
          <w:szCs w:val="22"/>
          <w:vertAlign w:val="superscript"/>
        </w:rPr>
        <w:t>–</w:t>
      </w:r>
      <w:r w:rsidR="00D12D68" w:rsidRPr="009B0F6E">
        <w:rPr>
          <w:rFonts w:ascii="Calibri" w:hAnsi="Calibri" w:cs="Calibri"/>
          <w:sz w:val="22"/>
          <w:szCs w:val="22"/>
          <w:vertAlign w:val="superscript"/>
        </w:rPr>
        <w:t>49</w:t>
      </w:r>
      <w:r w:rsidRPr="009B0F6E">
        <w:rPr>
          <w:rFonts w:ascii="Calibri" w:hAnsi="Calibri" w:cs="Calibri"/>
          <w:sz w:val="22"/>
          <w:szCs w:val="22"/>
        </w:rPr>
        <w:t xml:space="preserve"> In the PRAGUE-17 trial (Percutaneous Left Atrial Appendage Closure vs Novel Anticoagulation Agents in Atrial Fibrillation), AF patients with a history of cardioembolic event and a clinically relevant bleeding risk (CHA</w:t>
      </w:r>
      <w:r w:rsidR="00351D23" w:rsidRPr="009B0F6E">
        <w:rPr>
          <w:rFonts w:ascii="Calibri" w:hAnsi="Calibri" w:cs="Calibri"/>
          <w:sz w:val="22"/>
          <w:szCs w:val="22"/>
          <w:vertAlign w:val="subscript"/>
        </w:rPr>
        <w:t>2</w:t>
      </w:r>
      <w:r w:rsidRPr="009B0F6E">
        <w:rPr>
          <w:rFonts w:ascii="Calibri" w:hAnsi="Calibri" w:cs="Calibri"/>
          <w:sz w:val="22"/>
          <w:szCs w:val="22"/>
        </w:rPr>
        <w:t>DS</w:t>
      </w:r>
      <w:r w:rsidR="00351D23" w:rsidRPr="009B0F6E">
        <w:rPr>
          <w:rFonts w:ascii="Calibri" w:hAnsi="Calibri" w:cs="Calibri"/>
          <w:sz w:val="22"/>
          <w:szCs w:val="22"/>
          <w:vertAlign w:val="subscript"/>
        </w:rPr>
        <w:t>2</w:t>
      </w:r>
      <w:r w:rsidRPr="009B0F6E">
        <w:rPr>
          <w:rFonts w:ascii="Calibri" w:hAnsi="Calibri" w:cs="Calibri"/>
          <w:sz w:val="22"/>
          <w:szCs w:val="22"/>
        </w:rPr>
        <w:t>-VASc score ≥3 and a HAS-BLED score ≥2) were randomized to receive LAAC (using Amulet, Watchman 2.5, and Watchman FLX devices) or DOAC (95% of patients received Apixaban). The results established non-inferiority of LAAC compared to OAC for the primary efficacy composite endpoint of stroke, TIA, SE, CVD, major or non-major clinically relevant bleeding and procedure- or device-related complications (P = 0.0004)</w:t>
      </w:r>
      <w:r w:rsidRPr="009B0F6E">
        <w:rPr>
          <w:rFonts w:ascii="Calibri" w:hAnsi="Calibri" w:cs="Calibri"/>
          <w:color w:val="333333"/>
          <w:sz w:val="22"/>
          <w:szCs w:val="22"/>
          <w:shd w:val="clear" w:color="auto" w:fill="FFFFFF"/>
        </w:rPr>
        <w:t>,</w:t>
      </w:r>
      <w:r w:rsidRPr="009B0F6E">
        <w:rPr>
          <w:rFonts w:ascii="Calibri" w:hAnsi="Calibri" w:cs="Calibri"/>
          <w:sz w:val="22"/>
          <w:szCs w:val="22"/>
          <w:vertAlign w:val="superscript"/>
        </w:rPr>
        <w:t>5</w:t>
      </w:r>
      <w:r w:rsidR="00D12D68" w:rsidRPr="009B0F6E">
        <w:rPr>
          <w:rFonts w:ascii="Calibri" w:hAnsi="Calibri" w:cs="Calibri"/>
          <w:sz w:val="22"/>
          <w:szCs w:val="22"/>
          <w:vertAlign w:val="superscript"/>
        </w:rPr>
        <w:t>0</w:t>
      </w:r>
      <w:r w:rsidRPr="009B0F6E">
        <w:rPr>
          <w:rFonts w:ascii="Calibri" w:hAnsi="Calibri" w:cs="Calibri"/>
          <w:color w:val="333333"/>
          <w:sz w:val="22"/>
          <w:szCs w:val="22"/>
          <w:shd w:val="clear" w:color="auto" w:fill="FFFFFF"/>
        </w:rPr>
        <w:t xml:space="preserve"> and were later confirmed at the 4-year analysis.</w:t>
      </w:r>
      <w:r w:rsidRPr="009B0F6E">
        <w:rPr>
          <w:rFonts w:ascii="Calibri" w:hAnsi="Calibri" w:cs="Calibri"/>
          <w:sz w:val="22"/>
          <w:szCs w:val="22"/>
          <w:vertAlign w:val="superscript"/>
        </w:rPr>
        <w:t>5</w:t>
      </w:r>
      <w:r w:rsidR="00D12D68" w:rsidRPr="009B0F6E">
        <w:rPr>
          <w:rFonts w:ascii="Calibri" w:hAnsi="Calibri" w:cs="Calibri"/>
          <w:sz w:val="22"/>
          <w:szCs w:val="22"/>
          <w:vertAlign w:val="superscript"/>
        </w:rPr>
        <w:t>1</w:t>
      </w:r>
      <w:r w:rsidRPr="009B0F6E">
        <w:rPr>
          <w:rFonts w:ascii="Calibri" w:hAnsi="Calibri" w:cs="Calibri"/>
          <w:sz w:val="22"/>
          <w:szCs w:val="22"/>
          <w:shd w:val="clear" w:color="auto" w:fill="FFFFFF"/>
        </w:rPr>
        <w:t xml:space="preserve"> </w:t>
      </w:r>
      <w:r w:rsidRPr="009B0F6E">
        <w:rPr>
          <w:rFonts w:ascii="Calibri" w:hAnsi="Calibri" w:cs="Calibri"/>
          <w:spacing w:val="-1"/>
          <w:sz w:val="22"/>
          <w:szCs w:val="22"/>
          <w:shd w:val="clear" w:color="auto" w:fill="FFFFFF"/>
          <w:lang w:val="en-US"/>
        </w:rPr>
        <w:t>The OPTION trial</w:t>
      </w:r>
      <w:r w:rsidR="00351D23" w:rsidRPr="009B0F6E">
        <w:rPr>
          <w:rFonts w:ascii="Calibri" w:hAnsi="Calibri" w:cs="Calibri"/>
          <w:spacing w:val="-1"/>
          <w:sz w:val="22"/>
          <w:szCs w:val="22"/>
          <w:shd w:val="clear" w:color="auto" w:fill="FFFFFF"/>
          <w:lang w:val="en-US"/>
        </w:rPr>
        <w:t xml:space="preserve"> </w:t>
      </w:r>
      <w:r w:rsidRPr="009B0F6E">
        <w:rPr>
          <w:rFonts w:ascii="Calibri" w:hAnsi="Calibri" w:cs="Calibri"/>
          <w:spacing w:val="-1"/>
          <w:sz w:val="22"/>
          <w:szCs w:val="22"/>
          <w:shd w:val="clear" w:color="auto" w:fill="FFFFFF"/>
          <w:lang w:val="en-US"/>
        </w:rPr>
        <w:t>recently assessed the safety and efficacy of LAAC in patients with</w:t>
      </w:r>
      <w:r w:rsidR="00351D23" w:rsidRPr="009B0F6E">
        <w:rPr>
          <w:rFonts w:ascii="Calibri" w:hAnsi="Calibri" w:cs="Calibri"/>
          <w:spacing w:val="-1"/>
          <w:sz w:val="22"/>
          <w:szCs w:val="22"/>
          <w:shd w:val="clear" w:color="auto" w:fill="FFFFFF"/>
          <w:lang w:val="en-US"/>
        </w:rPr>
        <w:t xml:space="preserve"> </w:t>
      </w:r>
      <w:r w:rsidRPr="009B0F6E">
        <w:rPr>
          <w:rFonts w:ascii="Calibri" w:hAnsi="Calibri" w:cs="Calibri"/>
          <w:spacing w:val="-1"/>
          <w:sz w:val="22"/>
          <w:szCs w:val="22"/>
          <w:shd w:val="clear" w:color="auto" w:fill="FFFFFF"/>
          <w:lang w:val="en-US"/>
        </w:rPr>
        <w:t>moderate-to-high stroke risk undergoing</w:t>
      </w:r>
      <w:r w:rsidR="00351D23" w:rsidRPr="009B0F6E">
        <w:rPr>
          <w:rFonts w:ascii="Calibri" w:hAnsi="Calibri" w:cs="Calibri"/>
          <w:spacing w:val="-1"/>
          <w:sz w:val="22"/>
          <w:szCs w:val="22"/>
          <w:shd w:val="clear" w:color="auto" w:fill="FFFFFF"/>
          <w:lang w:val="en-US"/>
        </w:rPr>
        <w:t xml:space="preserve"> </w:t>
      </w:r>
      <w:r w:rsidRPr="009B0F6E">
        <w:rPr>
          <w:rFonts w:ascii="Calibri" w:hAnsi="Calibri" w:cs="Calibri"/>
          <w:spacing w:val="-1"/>
          <w:sz w:val="22"/>
          <w:szCs w:val="22"/>
          <w:shd w:val="clear" w:color="auto" w:fill="FFFFFF"/>
          <w:lang w:val="en-US"/>
        </w:rPr>
        <w:t>catheter ablation for AF. Participants were randomized to receive LAAC</w:t>
      </w:r>
      <w:r w:rsidR="00351D23" w:rsidRPr="009B0F6E">
        <w:rPr>
          <w:rFonts w:ascii="Calibri" w:hAnsi="Calibri" w:cs="Calibri"/>
          <w:spacing w:val="-1"/>
          <w:sz w:val="22"/>
          <w:szCs w:val="22"/>
          <w:shd w:val="clear" w:color="auto" w:fill="FFFFFF"/>
          <w:lang w:val="en-US"/>
        </w:rPr>
        <w:t xml:space="preserve"> </w:t>
      </w:r>
      <w:r w:rsidRPr="009B0F6E">
        <w:rPr>
          <w:rFonts w:ascii="Calibri" w:hAnsi="Calibri" w:cs="Calibri"/>
          <w:spacing w:val="-1"/>
          <w:sz w:val="22"/>
          <w:szCs w:val="22"/>
          <w:shd w:val="clear" w:color="auto" w:fill="FFFFFF"/>
          <w:lang w:val="en-US"/>
        </w:rPr>
        <w:t>or</w:t>
      </w:r>
      <w:r w:rsidR="00351D23" w:rsidRPr="009B0F6E">
        <w:rPr>
          <w:rFonts w:ascii="Calibri" w:hAnsi="Calibri" w:cs="Calibri"/>
          <w:spacing w:val="-1"/>
          <w:sz w:val="22"/>
          <w:szCs w:val="22"/>
          <w:shd w:val="clear" w:color="auto" w:fill="FFFFFF"/>
          <w:lang w:val="en-US"/>
        </w:rPr>
        <w:t xml:space="preserve"> </w:t>
      </w:r>
      <w:r w:rsidRPr="009B0F6E">
        <w:rPr>
          <w:rFonts w:ascii="Calibri" w:hAnsi="Calibri" w:cs="Calibri"/>
          <w:spacing w:val="-1"/>
          <w:sz w:val="22"/>
          <w:szCs w:val="22"/>
          <w:shd w:val="clear" w:color="auto" w:fill="FFFFFF"/>
          <w:lang w:val="en-US"/>
        </w:rPr>
        <w:t>standard OAC following the ablation procedure. The results showed a superiority for the primary endpoint of major bleeding or minor clinically relevant bleeding events with LAAC</w:t>
      </w:r>
      <w:r w:rsidR="00351D23" w:rsidRPr="009B0F6E">
        <w:rPr>
          <w:rFonts w:ascii="Calibri" w:hAnsi="Calibri" w:cs="Calibri"/>
          <w:spacing w:val="-1"/>
          <w:sz w:val="22"/>
          <w:szCs w:val="22"/>
          <w:shd w:val="clear" w:color="auto" w:fill="FFFFFF"/>
          <w:lang w:val="en-US"/>
        </w:rPr>
        <w:t xml:space="preserve"> </w:t>
      </w:r>
      <w:r w:rsidRPr="009B0F6E">
        <w:rPr>
          <w:rFonts w:ascii="Calibri" w:hAnsi="Calibri" w:cs="Calibri"/>
          <w:spacing w:val="-1"/>
          <w:sz w:val="22"/>
          <w:szCs w:val="22"/>
          <w:shd w:val="clear" w:color="auto" w:fill="FFFFFF"/>
          <w:lang w:val="en-US"/>
        </w:rPr>
        <w:t>(P</w:t>
      </w:r>
      <w:r w:rsidR="00351D23" w:rsidRPr="009B0F6E">
        <w:rPr>
          <w:rFonts w:ascii="Calibri" w:hAnsi="Calibri" w:cs="Calibri"/>
          <w:spacing w:val="-1"/>
          <w:sz w:val="22"/>
          <w:szCs w:val="22"/>
          <w:shd w:val="clear" w:color="auto" w:fill="FFFFFF"/>
          <w:lang w:val="en-US"/>
        </w:rPr>
        <w:t xml:space="preserve"> </w:t>
      </w:r>
      <w:r w:rsidRPr="009B0F6E">
        <w:rPr>
          <w:rFonts w:ascii="Calibri" w:hAnsi="Calibri" w:cs="Calibri"/>
          <w:spacing w:val="-1"/>
          <w:sz w:val="22"/>
          <w:szCs w:val="22"/>
          <w:shd w:val="clear" w:color="auto" w:fill="FFFFFF"/>
          <w:lang w:val="en-US"/>
        </w:rPr>
        <w:t>&lt; 0.001 for superiority) and non-inferior for the</w:t>
      </w:r>
      <w:r w:rsidR="00351D23" w:rsidRPr="009B0F6E">
        <w:rPr>
          <w:rFonts w:ascii="Calibri" w:hAnsi="Calibri" w:cs="Calibri"/>
          <w:spacing w:val="-1"/>
          <w:sz w:val="22"/>
          <w:szCs w:val="22"/>
          <w:shd w:val="clear" w:color="auto" w:fill="FFFFFF"/>
          <w:lang w:val="en-US"/>
        </w:rPr>
        <w:t xml:space="preserve"> </w:t>
      </w:r>
      <w:r w:rsidRPr="009B0F6E">
        <w:rPr>
          <w:rFonts w:ascii="Calibri" w:hAnsi="Calibri" w:cs="Calibri"/>
          <w:spacing w:val="-1"/>
          <w:sz w:val="22"/>
          <w:szCs w:val="22"/>
          <w:shd w:val="clear" w:color="auto" w:fill="FFFFFF"/>
          <w:lang w:val="en-US"/>
        </w:rPr>
        <w:t>composite endpoint of all-cause mortality, stroke, or SE</w:t>
      </w:r>
      <w:r w:rsidR="00351D23" w:rsidRPr="009B0F6E">
        <w:rPr>
          <w:rFonts w:ascii="Calibri" w:hAnsi="Calibri" w:cs="Calibri"/>
          <w:spacing w:val="-1"/>
          <w:sz w:val="22"/>
          <w:szCs w:val="22"/>
          <w:shd w:val="clear" w:color="auto" w:fill="FFFFFF"/>
          <w:lang w:val="en-US"/>
        </w:rPr>
        <w:t xml:space="preserve"> </w:t>
      </w:r>
      <w:r w:rsidRPr="009B0F6E">
        <w:rPr>
          <w:rFonts w:ascii="Calibri" w:hAnsi="Calibri" w:cs="Calibri"/>
          <w:spacing w:val="-1"/>
          <w:sz w:val="22"/>
          <w:szCs w:val="22"/>
          <w:shd w:val="clear" w:color="auto" w:fill="FFFFFF"/>
          <w:lang w:val="en-US"/>
        </w:rPr>
        <w:t>(P</w:t>
      </w:r>
      <w:r w:rsidR="00351D23" w:rsidRPr="009B0F6E">
        <w:rPr>
          <w:rFonts w:ascii="Calibri" w:hAnsi="Calibri" w:cs="Calibri"/>
          <w:spacing w:val="-1"/>
          <w:sz w:val="22"/>
          <w:szCs w:val="22"/>
          <w:shd w:val="clear" w:color="auto" w:fill="FFFFFF"/>
          <w:lang w:val="en-US"/>
        </w:rPr>
        <w:t xml:space="preserve"> </w:t>
      </w:r>
      <w:r w:rsidRPr="009B0F6E">
        <w:rPr>
          <w:rFonts w:ascii="Calibri" w:hAnsi="Calibri" w:cs="Calibri"/>
          <w:spacing w:val="-1"/>
          <w:sz w:val="22"/>
          <w:szCs w:val="22"/>
          <w:shd w:val="clear" w:color="auto" w:fill="FFFFFF"/>
          <w:lang w:val="en-US"/>
        </w:rPr>
        <w:t>&lt; 0.001) at 36 months. These findings support the potential value of a</w:t>
      </w:r>
      <w:r w:rsidR="00351D23" w:rsidRPr="009B0F6E">
        <w:rPr>
          <w:rFonts w:ascii="Calibri" w:hAnsi="Calibri" w:cs="Calibri"/>
          <w:spacing w:val="-1"/>
          <w:sz w:val="22"/>
          <w:szCs w:val="22"/>
          <w:shd w:val="clear" w:color="auto" w:fill="FFFFFF"/>
          <w:lang w:val="en-US"/>
        </w:rPr>
        <w:t xml:space="preserve"> </w:t>
      </w:r>
      <w:r w:rsidRPr="009B0F6E">
        <w:rPr>
          <w:rFonts w:ascii="Calibri" w:hAnsi="Calibri" w:cs="Calibri"/>
          <w:spacing w:val="-1"/>
          <w:sz w:val="22"/>
          <w:szCs w:val="22"/>
          <w:shd w:val="clear" w:color="auto" w:fill="FFFFFF"/>
          <w:lang w:val="en-US"/>
        </w:rPr>
        <w:t>combined strategy of AF ablation and LAAC for stroke risk reduction allowing early discontinuation of anticoagulation and thereby enhancing the safety profile of stroke preventive strategies.</w:t>
      </w:r>
      <w:r w:rsidRPr="009B0F6E">
        <w:rPr>
          <w:rFonts w:ascii="Calibri" w:hAnsi="Calibri" w:cs="Calibri"/>
          <w:sz w:val="22"/>
          <w:szCs w:val="22"/>
          <w:vertAlign w:val="superscript"/>
          <w:lang w:val="en-US"/>
        </w:rPr>
        <w:t>5</w:t>
      </w:r>
      <w:r w:rsidR="00D12D68" w:rsidRPr="009B0F6E">
        <w:rPr>
          <w:rFonts w:ascii="Calibri" w:hAnsi="Calibri" w:cs="Calibri"/>
          <w:sz w:val="22"/>
          <w:szCs w:val="22"/>
          <w:vertAlign w:val="superscript"/>
          <w:lang w:val="en-US"/>
        </w:rPr>
        <w:t>2</w:t>
      </w:r>
    </w:p>
    <w:p w14:paraId="304836A2" w14:textId="6C12A969" w:rsidR="00DD3127" w:rsidRPr="009B0F6E" w:rsidRDefault="00DD3127" w:rsidP="003A7AD9">
      <w:pPr>
        <w:pStyle w:val="NormalWeb"/>
        <w:widowControl w:val="0"/>
        <w:jc w:val="both"/>
        <w:rPr>
          <w:rFonts w:ascii="Calibri" w:hAnsi="Calibri" w:cs="Calibri"/>
          <w:spacing w:val="-1"/>
          <w:sz w:val="22"/>
          <w:szCs w:val="22"/>
          <w:shd w:val="clear" w:color="auto" w:fill="FFFFFF"/>
          <w:lang w:val="en-US"/>
        </w:rPr>
      </w:pPr>
    </w:p>
    <w:p w14:paraId="304836A3" w14:textId="41E8F86E" w:rsidR="00DD3127" w:rsidRPr="009B0F6E" w:rsidRDefault="00C1376C" w:rsidP="003A7AD9">
      <w:pPr>
        <w:pStyle w:val="NormalWeb"/>
        <w:widowControl w:val="0"/>
        <w:jc w:val="both"/>
        <w:rPr>
          <w:rFonts w:ascii="Calibri" w:hAnsi="Calibri" w:cs="Calibri"/>
          <w:spacing w:val="-1"/>
          <w:sz w:val="22"/>
          <w:szCs w:val="22"/>
          <w:shd w:val="clear" w:color="auto" w:fill="FFFFFF"/>
          <w:lang w:val="en-US"/>
        </w:rPr>
      </w:pPr>
      <w:r w:rsidRPr="009B0F6E">
        <w:rPr>
          <w:rFonts w:ascii="Calibri" w:hAnsi="Calibri" w:cs="Calibri"/>
          <w:spacing w:val="-1"/>
          <w:sz w:val="22"/>
          <w:szCs w:val="22"/>
          <w:shd w:val="clear" w:color="auto" w:fill="FFFFFF"/>
          <w:lang w:val="en-US"/>
        </w:rPr>
        <w:t>However, despite these encouraging results, it is important to note that the non-inferiority in efficacy might have been influenced by the high rate of sinus rhythm maintenance observed at the 3-year follow-up. In fact, clinical assessment at 36 months showed that over 75% of patients were in sinus rhythm, regardless of treatment group. Nonetheless, the trial also reported a clinical recurrence rate of 65% in both groups, defined as electrical cardioversion, repeat ablation, up-titration of antiarrhythmic therapy, or documented recurrence of atrial flutter or atrial tachycardia. This apparent discrepancy highlights the potential underestimation of AF burden (due to limited rhythm monitoring), but also the possibility that the clinical recurrence rate may overestimate the actual residual stroke risk in patients who are otherwise well-managed.</w:t>
      </w:r>
      <w:r w:rsidRPr="009B0F6E">
        <w:rPr>
          <w:rFonts w:ascii="Calibri" w:hAnsi="Calibri" w:cs="Calibri"/>
          <w:sz w:val="22"/>
          <w:szCs w:val="22"/>
          <w:lang w:val="en-US"/>
        </w:rPr>
        <w:t xml:space="preserve"> </w:t>
      </w:r>
      <w:r w:rsidRPr="009B0F6E">
        <w:rPr>
          <w:rFonts w:ascii="Calibri" w:hAnsi="Calibri" w:cs="Calibri"/>
          <w:spacing w:val="-1"/>
          <w:sz w:val="22"/>
          <w:szCs w:val="22"/>
          <w:shd w:val="clear" w:color="auto" w:fill="FFFFFF"/>
          <w:lang w:val="en-US"/>
        </w:rPr>
        <w:t>Therefore, while the OPTION trial provides encouraging data supporting LAAC as an adjunct to AF ablation, further large-scale studies with extended rhythm monitoring and longer follow-up are needed to definitively establish the efficacy and safety of this combined approach across diverse patient populations.</w:t>
      </w:r>
    </w:p>
    <w:p w14:paraId="14249AF3" w14:textId="77777777" w:rsidR="00DC4445" w:rsidRPr="009B0F6E" w:rsidRDefault="00DC4445" w:rsidP="003A7AD9">
      <w:pPr>
        <w:pStyle w:val="NormalWeb"/>
        <w:widowControl w:val="0"/>
        <w:jc w:val="both"/>
        <w:rPr>
          <w:rFonts w:ascii="Calibri" w:hAnsi="Calibri" w:cs="Calibri"/>
          <w:spacing w:val="-1"/>
          <w:sz w:val="22"/>
          <w:szCs w:val="22"/>
          <w:shd w:val="clear" w:color="auto" w:fill="FFFFFF"/>
          <w:lang w:val="en-US"/>
        </w:rPr>
      </w:pPr>
    </w:p>
    <w:p w14:paraId="304836A4" w14:textId="32FFD0A7" w:rsidR="00DD3127" w:rsidRPr="009B0F6E" w:rsidRDefault="00C1376C" w:rsidP="003A7AD9">
      <w:pPr>
        <w:pStyle w:val="NormalWeb"/>
        <w:widowControl w:val="0"/>
        <w:jc w:val="both"/>
        <w:rPr>
          <w:rFonts w:ascii="Calibri" w:hAnsi="Calibri" w:cs="Calibri"/>
          <w:sz w:val="22"/>
          <w:szCs w:val="22"/>
          <w:lang w:val="en-US"/>
        </w:rPr>
      </w:pPr>
      <w:r w:rsidRPr="009B0F6E">
        <w:rPr>
          <w:rFonts w:ascii="Calibri" w:hAnsi="Calibri" w:cs="Calibri"/>
          <w:sz w:val="22"/>
          <w:szCs w:val="22"/>
          <w:lang w:val="en-US"/>
        </w:rPr>
        <w:t>The recently reported CLOSURE-AF trial provides the second randomized comparison of percutaneous LAAC versus contemporary medical therapy in precisely the population for whom this intervention was originally conceived. In this multicenter German study, 912 patients with AF (median age 79.1 years; 38.6% women) and both high thromboembolic risk (mean CHA</w:t>
      </w:r>
      <w:r w:rsidR="00351D23" w:rsidRPr="009B0F6E">
        <w:rPr>
          <w:rFonts w:ascii="Calibri" w:hAnsi="Calibri" w:cs="Calibri"/>
          <w:sz w:val="22"/>
          <w:szCs w:val="22"/>
          <w:vertAlign w:val="subscript"/>
        </w:rPr>
        <w:t>2</w:t>
      </w:r>
      <w:r w:rsidRPr="009B0F6E">
        <w:rPr>
          <w:rFonts w:ascii="Calibri" w:hAnsi="Calibri" w:cs="Calibri"/>
          <w:sz w:val="22"/>
          <w:szCs w:val="22"/>
          <w:lang w:val="en-US"/>
        </w:rPr>
        <w:t>DS</w:t>
      </w:r>
      <w:r w:rsidR="00351D23" w:rsidRPr="009B0F6E">
        <w:rPr>
          <w:rFonts w:ascii="Calibri" w:hAnsi="Calibri" w:cs="Calibri"/>
          <w:sz w:val="22"/>
          <w:szCs w:val="22"/>
          <w:vertAlign w:val="subscript"/>
        </w:rPr>
        <w:t>2</w:t>
      </w:r>
      <w:r w:rsidRPr="009B0F6E">
        <w:rPr>
          <w:rFonts w:ascii="Calibri" w:hAnsi="Calibri" w:cs="Calibri"/>
          <w:sz w:val="22"/>
          <w:szCs w:val="22"/>
          <w:lang w:val="en-US"/>
        </w:rPr>
        <w:t>-VASc 5.2) and increased bleeding risk (mean HAS-BLED 3.0, or prior bleeding and/or advanced chronic kidney disease) were randomized to LAAC (Amplatzer Amulet or Watchman FLX) or physician-directed standard care, predominantly DOAC therapy.</w:t>
      </w:r>
    </w:p>
    <w:p w14:paraId="5B5915AC" w14:textId="77777777" w:rsidR="00DC4445" w:rsidRPr="009B0F6E" w:rsidRDefault="00DC4445" w:rsidP="003A7AD9">
      <w:pPr>
        <w:pStyle w:val="NormalWeb"/>
        <w:widowControl w:val="0"/>
        <w:jc w:val="both"/>
        <w:rPr>
          <w:rFonts w:ascii="Calibri" w:hAnsi="Calibri" w:cs="Calibri"/>
          <w:sz w:val="22"/>
          <w:szCs w:val="22"/>
          <w:shd w:val="clear" w:color="auto" w:fill="FFFFFF"/>
          <w:lang w:val="en-US"/>
        </w:rPr>
      </w:pPr>
    </w:p>
    <w:p w14:paraId="304836A5" w14:textId="1097D353"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Compared with PRAGUE-17 (mean age 73.3 years; CHA</w:t>
      </w:r>
      <w:r w:rsidR="00351D23" w:rsidRPr="009B0F6E">
        <w:rPr>
          <w:rFonts w:ascii="Calibri" w:hAnsi="Calibri" w:cs="Calibri"/>
          <w:sz w:val="22"/>
          <w:szCs w:val="22"/>
          <w:vertAlign w:val="subscript"/>
        </w:rPr>
        <w:t>2</w:t>
      </w:r>
      <w:r w:rsidRPr="009B0F6E">
        <w:rPr>
          <w:rFonts w:ascii="Calibri" w:hAnsi="Calibri" w:cs="Calibri"/>
          <w:sz w:val="22"/>
          <w:szCs w:val="22"/>
        </w:rPr>
        <w:t>DS</w:t>
      </w:r>
      <w:r w:rsidR="00351D23" w:rsidRPr="009B0F6E">
        <w:rPr>
          <w:rFonts w:ascii="Calibri" w:hAnsi="Calibri" w:cs="Calibri"/>
          <w:sz w:val="22"/>
          <w:szCs w:val="22"/>
          <w:vertAlign w:val="subscript"/>
        </w:rPr>
        <w:t>2</w:t>
      </w:r>
      <w:r w:rsidRPr="009B0F6E">
        <w:rPr>
          <w:rFonts w:ascii="Calibri" w:hAnsi="Calibri" w:cs="Calibri"/>
          <w:sz w:val="22"/>
          <w:szCs w:val="22"/>
        </w:rPr>
        <w:t>-VASc 4.7; HAS-BLED 3.1) and especially with the OPTION trial (mean age 69.6 years; CHA</w:t>
      </w:r>
      <w:r w:rsidR="00351D23" w:rsidRPr="009B0F6E">
        <w:rPr>
          <w:rFonts w:ascii="Calibri" w:hAnsi="Calibri" w:cs="Calibri"/>
          <w:sz w:val="22"/>
          <w:szCs w:val="22"/>
          <w:vertAlign w:val="subscript"/>
        </w:rPr>
        <w:t>2</w:t>
      </w:r>
      <w:r w:rsidRPr="009B0F6E">
        <w:rPr>
          <w:rFonts w:ascii="Calibri" w:hAnsi="Calibri" w:cs="Calibri"/>
          <w:sz w:val="22"/>
          <w:szCs w:val="22"/>
        </w:rPr>
        <w:t>DS</w:t>
      </w:r>
      <w:r w:rsidR="00351D23" w:rsidRPr="009B0F6E">
        <w:rPr>
          <w:rFonts w:ascii="Calibri" w:hAnsi="Calibri" w:cs="Calibri"/>
          <w:sz w:val="22"/>
          <w:szCs w:val="22"/>
          <w:vertAlign w:val="subscript"/>
        </w:rPr>
        <w:t>2</w:t>
      </w:r>
      <w:r w:rsidRPr="009B0F6E">
        <w:rPr>
          <w:rFonts w:ascii="Calibri" w:hAnsi="Calibri" w:cs="Calibri"/>
          <w:sz w:val="22"/>
          <w:szCs w:val="22"/>
        </w:rPr>
        <w:t>-VASc 3.5; HAS-BLED 1.2), the CLOSURE-AF cohort was substantially older and carried a markedly higher absolute risk of both stroke and bleeding.</w:t>
      </w:r>
    </w:p>
    <w:p w14:paraId="03A14693" w14:textId="77777777" w:rsidR="00DC4445" w:rsidRPr="009B0F6E" w:rsidRDefault="00DC4445" w:rsidP="003A7AD9">
      <w:pPr>
        <w:widowControl w:val="0"/>
        <w:jc w:val="both"/>
        <w:rPr>
          <w:rFonts w:ascii="Calibri" w:hAnsi="Calibri" w:cs="Calibri"/>
          <w:sz w:val="22"/>
          <w:szCs w:val="22"/>
        </w:rPr>
      </w:pPr>
    </w:p>
    <w:p w14:paraId="304836A6" w14:textId="1D910E2E"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Over a median follow-up of approximately 3 years, LAAC did not meet the pre-specified non-inferiority criterion for the primary composite endpoint of stroke, systemic embolism, cardiovascular or unexplained death, or major bleeding. The event rate was 16.83 versus 13.27 per 100 patient-years for LAAC and standard care, respectively, corresponding to an adjusted HR of 1.28 (95% CI 1.01–1.62) in favor of medical therapy. Rates of the individual components, including ischemic stroke, were broadly similar between groups, but the trial was underpowered to detect differences in single endpoints. The excess in the composite outcome in the LAAC arm appeared to be largely driven by bleeding together with a higher rate of cardiovascular/unexplained death. These findings suggest that, in very elderly patients with extreme baseline bleeding risk, the procedural hazards and the burden of post-LAAC antithrombotic therapy may at least partially offset the potential benefit of mechanical stroke prevention. This reinforces the need for individualized regimens and for further trials testing simplified or DOAC-based strategies to preserve the stroke-preventive effect of LAAC without incurring an unacceptably high bleeding burden.</w:t>
      </w:r>
    </w:p>
    <w:p w14:paraId="5D1D15C5" w14:textId="77777777" w:rsidR="00DC4445" w:rsidRPr="009B0F6E" w:rsidRDefault="00DC4445" w:rsidP="003A7AD9">
      <w:pPr>
        <w:widowControl w:val="0"/>
        <w:jc w:val="both"/>
        <w:rPr>
          <w:rFonts w:ascii="Calibri" w:hAnsi="Calibri" w:cs="Calibri"/>
          <w:sz w:val="22"/>
          <w:szCs w:val="22"/>
        </w:rPr>
      </w:pPr>
    </w:p>
    <w:p w14:paraId="304836A7" w14:textId="2B92C4A3"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Initial data on the potential role of optimizing post-LAAC therapy also stem from the ANDES (Short-Term Anticoagulation versus Dual Antiplatelet Therapy for Preventing Device Thrombosis Following Left Atrial Appendage Closure) randomized clinical trial, which compared a short course of DOAC versus DAPT after LAAC. The study showed a lower rate of the composite safety endpoint (death, stroke, bleeding, or treatment-changing DRT) with DOACs, mainly due to fewer bleeding events, without a significant difference in DRT incidence, In this perspective, ongoing randomized studies such as the SIMPLAAFY trial evaluating two monotherapy regimens (aspirin alone or reduced-dose DOAC) versus DAPT after implantation of the Watchman FLX PRO device are expected to further clarify whether simplified post-implant regimens can maintain efficacy while mitigating bleeding risk in everyday clinical practice.</w:t>
      </w:r>
    </w:p>
    <w:p w14:paraId="3FD91263" w14:textId="77777777" w:rsidR="00DC4445" w:rsidRPr="009B0F6E" w:rsidRDefault="00DC4445" w:rsidP="003A7AD9">
      <w:pPr>
        <w:widowControl w:val="0"/>
        <w:jc w:val="both"/>
        <w:rPr>
          <w:rFonts w:ascii="Calibri" w:hAnsi="Calibri" w:cs="Calibri"/>
          <w:sz w:val="22"/>
          <w:szCs w:val="22"/>
        </w:rPr>
      </w:pPr>
    </w:p>
    <w:p w14:paraId="304836A8" w14:textId="48CC6B08" w:rsidR="00DD3127" w:rsidRPr="009B0F6E" w:rsidRDefault="00C1376C" w:rsidP="003A7AD9">
      <w:pPr>
        <w:widowControl w:val="0"/>
        <w:jc w:val="both"/>
        <w:rPr>
          <w:rFonts w:ascii="Calibri" w:hAnsi="Calibri" w:cs="Calibri"/>
          <w:spacing w:val="-1"/>
          <w:sz w:val="22"/>
          <w:szCs w:val="22"/>
          <w:shd w:val="clear" w:color="auto" w:fill="FFFFFF"/>
        </w:rPr>
      </w:pPr>
      <w:r w:rsidRPr="009B0F6E">
        <w:rPr>
          <w:rFonts w:ascii="Calibri" w:hAnsi="Calibri" w:cs="Calibri"/>
          <w:sz w:val="22"/>
          <w:szCs w:val="22"/>
        </w:rPr>
        <w:t>The next wave of randomized trials is designed to further refine the role of LAAC across different risk profiles and clinical scenarios. The optimal strategy for AF patients at high thromboembolic and bleeding risk with absolute contraindications to long-term OAC will be addressed in the COMPARE LAAO tria</w:t>
      </w:r>
      <w:r w:rsidRPr="009B0F6E">
        <w:rPr>
          <w:rFonts w:ascii="Calibri" w:hAnsi="Calibri" w:cs="Calibri"/>
          <w:spacing w:val="-1"/>
          <w:sz w:val="22"/>
          <w:szCs w:val="22"/>
          <w:shd w:val="clear" w:color="auto" w:fill="FFFFFF"/>
        </w:rPr>
        <w:t>l, in which patients will be randomized to receive in a 2:1 fashion LAAC followed by DAPT and long-term aspirin or standard medical treatment (SAPT or DAPT).</w:t>
      </w:r>
      <w:r w:rsidRPr="009B0F6E">
        <w:rPr>
          <w:rFonts w:ascii="Calibri" w:hAnsi="Calibri" w:cs="Calibri"/>
          <w:sz w:val="22"/>
          <w:szCs w:val="22"/>
          <w:vertAlign w:val="superscript"/>
        </w:rPr>
        <w:t>5</w:t>
      </w:r>
      <w:r w:rsidR="00D12D68" w:rsidRPr="009B0F6E">
        <w:rPr>
          <w:rFonts w:ascii="Calibri" w:hAnsi="Calibri" w:cs="Calibri"/>
          <w:sz w:val="22"/>
          <w:szCs w:val="22"/>
          <w:vertAlign w:val="superscript"/>
        </w:rPr>
        <w:t>3</w:t>
      </w:r>
    </w:p>
    <w:p w14:paraId="304836A9" w14:textId="77777777" w:rsidR="00DD3127" w:rsidRPr="009B0F6E" w:rsidRDefault="00DD3127" w:rsidP="003A7AD9">
      <w:pPr>
        <w:widowControl w:val="0"/>
        <w:jc w:val="both"/>
        <w:rPr>
          <w:rFonts w:ascii="Calibri" w:hAnsi="Calibri" w:cs="Calibri"/>
          <w:spacing w:val="-1"/>
          <w:sz w:val="22"/>
          <w:szCs w:val="22"/>
          <w:shd w:val="clear" w:color="auto" w:fill="FFFFFF"/>
        </w:rPr>
      </w:pPr>
    </w:p>
    <w:p w14:paraId="304836AA" w14:textId="040E43B7" w:rsidR="00DD3127" w:rsidRPr="009B0F6E" w:rsidRDefault="00C1376C" w:rsidP="003A7AD9">
      <w:pPr>
        <w:widowControl w:val="0"/>
        <w:jc w:val="both"/>
        <w:rPr>
          <w:rFonts w:ascii="Calibri" w:hAnsi="Calibri" w:cs="Calibri"/>
          <w:sz w:val="22"/>
          <w:szCs w:val="22"/>
          <w:shd w:val="clear" w:color="auto" w:fill="FFFFFF"/>
        </w:rPr>
      </w:pPr>
      <w:r w:rsidRPr="009B0F6E">
        <w:rPr>
          <w:rFonts w:ascii="Calibri" w:hAnsi="Calibri" w:cs="Calibri"/>
          <w:spacing w:val="-1"/>
          <w:sz w:val="22"/>
          <w:szCs w:val="22"/>
          <w:shd w:val="clear" w:color="auto" w:fill="FFFFFF"/>
        </w:rPr>
        <w:t xml:space="preserve">Conversely, </w:t>
      </w:r>
      <w:r w:rsidRPr="009B0F6E">
        <w:rPr>
          <w:rFonts w:ascii="Calibri" w:hAnsi="Calibri" w:cs="Calibri"/>
          <w:sz w:val="22"/>
          <w:szCs w:val="22"/>
        </w:rPr>
        <w:t>the ongoing CATALYST (Amplatzer Amulet LAAC vs. DOAC) (NCT04226547) and CHAMPION-AF (Watchman FLX vs. DOAC) (NCT04394546) trials</w:t>
      </w:r>
      <w:r w:rsidRPr="009B0F6E">
        <w:rPr>
          <w:rFonts w:ascii="Calibri" w:hAnsi="Calibri" w:cs="Calibri"/>
          <w:sz w:val="22"/>
          <w:szCs w:val="22"/>
          <w:vertAlign w:val="superscript"/>
        </w:rPr>
        <w:t>5</w:t>
      </w:r>
      <w:r w:rsidR="00D12D68" w:rsidRPr="009B0F6E">
        <w:rPr>
          <w:rFonts w:ascii="Calibri" w:hAnsi="Calibri" w:cs="Calibri"/>
          <w:sz w:val="22"/>
          <w:szCs w:val="22"/>
          <w:vertAlign w:val="superscript"/>
        </w:rPr>
        <w:t>4</w:t>
      </w:r>
      <w:r w:rsidRPr="009B0F6E">
        <w:rPr>
          <w:rFonts w:ascii="Calibri" w:hAnsi="Calibri" w:cs="Calibri"/>
          <w:sz w:val="22"/>
          <w:szCs w:val="22"/>
          <w:shd w:val="clear" w:color="auto" w:fill="FFFFFF"/>
        </w:rPr>
        <w:t xml:space="preserve"> </w:t>
      </w:r>
      <w:r w:rsidRPr="009B0F6E">
        <w:rPr>
          <w:rFonts w:ascii="Calibri" w:hAnsi="Calibri" w:cs="Calibri"/>
          <w:sz w:val="22"/>
          <w:szCs w:val="22"/>
        </w:rPr>
        <w:t>will help clarify whether percutaneous LAAC might represent an actual alternative to OAC in all subsets of AF patients, irrespective of ischemic or bleeding risk (</w:t>
      </w:r>
      <w:r w:rsidRPr="009B0F6E">
        <w:rPr>
          <w:rFonts w:ascii="Calibri" w:hAnsi="Calibri" w:cs="Calibri"/>
          <w:sz w:val="22"/>
          <w:szCs w:val="22"/>
          <w:shd w:val="clear" w:color="auto" w:fill="FFFFFF"/>
        </w:rPr>
        <w:t>CHA</w:t>
      </w:r>
      <w:r w:rsidR="00351D23" w:rsidRPr="009B0F6E">
        <w:rPr>
          <w:rFonts w:ascii="Calibri" w:hAnsi="Calibri" w:cs="Calibri"/>
          <w:sz w:val="22"/>
          <w:szCs w:val="22"/>
          <w:vertAlign w:val="subscript"/>
        </w:rPr>
        <w:t>2</w:t>
      </w:r>
      <w:r w:rsidRPr="009B0F6E">
        <w:rPr>
          <w:rFonts w:ascii="Calibri" w:hAnsi="Calibri" w:cs="Calibri"/>
          <w:sz w:val="22"/>
          <w:szCs w:val="22"/>
          <w:shd w:val="clear" w:color="auto" w:fill="FFFFFF"/>
        </w:rPr>
        <w:t>DS</w:t>
      </w:r>
      <w:r w:rsidR="00351D23" w:rsidRPr="009B0F6E">
        <w:rPr>
          <w:rFonts w:ascii="Calibri" w:hAnsi="Calibri" w:cs="Calibri"/>
          <w:sz w:val="22"/>
          <w:szCs w:val="22"/>
          <w:vertAlign w:val="subscript"/>
        </w:rPr>
        <w:t>2</w:t>
      </w:r>
      <w:r w:rsidRPr="009B0F6E">
        <w:rPr>
          <w:rFonts w:ascii="Calibri" w:hAnsi="Calibri" w:cs="Calibri"/>
          <w:sz w:val="22"/>
          <w:szCs w:val="22"/>
          <w:shd w:val="clear" w:color="auto" w:fill="FFFFFF"/>
        </w:rPr>
        <w:t xml:space="preserve">-VASc score ≥2 for men or ≥3 for women in CHAMPION-AF, and </w:t>
      </w:r>
      <w:r w:rsidRPr="009B0F6E">
        <w:rPr>
          <w:rFonts w:ascii="Calibri" w:hAnsi="Calibri" w:cs="Calibri"/>
          <w:color w:val="222222"/>
          <w:sz w:val="22"/>
          <w:szCs w:val="22"/>
          <w:shd w:val="clear" w:color="auto" w:fill="FFFFFF"/>
        </w:rPr>
        <w:t>≥3</w:t>
      </w:r>
      <w:r w:rsidRPr="009B0F6E">
        <w:rPr>
          <w:rFonts w:ascii="Calibri" w:hAnsi="Calibri" w:cs="Calibri"/>
          <w:sz w:val="22"/>
          <w:szCs w:val="22"/>
          <w:shd w:val="clear" w:color="auto" w:fill="FFFFFF"/>
        </w:rPr>
        <w:t xml:space="preserve"> in CATALYST). Eventually, LAAOS-IV trial (NCT05963698)</w:t>
      </w:r>
      <w:r w:rsidR="00351D23" w:rsidRPr="009B0F6E">
        <w:rPr>
          <w:rFonts w:ascii="Calibri" w:hAnsi="Calibri" w:cs="Calibri"/>
          <w:sz w:val="22"/>
          <w:szCs w:val="22"/>
          <w:shd w:val="clear" w:color="auto" w:fill="FFFFFF"/>
        </w:rPr>
        <w:t xml:space="preserve"> </w:t>
      </w:r>
      <w:r w:rsidRPr="009B0F6E">
        <w:rPr>
          <w:rFonts w:ascii="Calibri" w:hAnsi="Calibri" w:cs="Calibri"/>
          <w:sz w:val="22"/>
          <w:szCs w:val="22"/>
          <w:shd w:val="clear" w:color="auto" w:fill="FFFFFF"/>
        </w:rPr>
        <w:t>is enrolling AF patients at high risk of stroke (CHA</w:t>
      </w:r>
      <w:r w:rsidR="00351D23" w:rsidRPr="009B0F6E">
        <w:rPr>
          <w:rFonts w:ascii="Calibri" w:hAnsi="Calibri" w:cs="Calibri"/>
          <w:sz w:val="22"/>
          <w:szCs w:val="22"/>
          <w:vertAlign w:val="subscript"/>
        </w:rPr>
        <w:t>2</w:t>
      </w:r>
      <w:r w:rsidRPr="009B0F6E">
        <w:rPr>
          <w:rFonts w:ascii="Calibri" w:hAnsi="Calibri" w:cs="Calibri"/>
          <w:sz w:val="22"/>
          <w:szCs w:val="22"/>
          <w:shd w:val="clear" w:color="auto" w:fill="FFFFFF"/>
        </w:rPr>
        <w:t>DS</w:t>
      </w:r>
      <w:r w:rsidR="00351D23" w:rsidRPr="009B0F6E">
        <w:rPr>
          <w:rFonts w:ascii="Calibri" w:hAnsi="Calibri" w:cs="Calibri"/>
          <w:sz w:val="22"/>
          <w:szCs w:val="22"/>
          <w:vertAlign w:val="subscript"/>
        </w:rPr>
        <w:t>2</w:t>
      </w:r>
      <w:r w:rsidRPr="009B0F6E">
        <w:rPr>
          <w:rFonts w:ascii="Calibri" w:hAnsi="Calibri" w:cs="Calibri"/>
          <w:sz w:val="22"/>
          <w:szCs w:val="22"/>
          <w:shd w:val="clear" w:color="auto" w:fill="FFFFFF"/>
        </w:rPr>
        <w:t>-VASc score ≥ 4) and eligible for OAC. The trial will assess whether adding the</w:t>
      </w:r>
      <w:r w:rsidR="00351D23" w:rsidRPr="009B0F6E">
        <w:rPr>
          <w:rFonts w:ascii="Calibri" w:hAnsi="Calibri" w:cs="Calibri"/>
          <w:sz w:val="22"/>
          <w:szCs w:val="22"/>
          <w:shd w:val="clear" w:color="auto" w:fill="FFFFFF"/>
        </w:rPr>
        <w:t xml:space="preserve"> </w:t>
      </w:r>
      <w:r w:rsidRPr="009B0F6E">
        <w:rPr>
          <w:rFonts w:ascii="Calibri" w:hAnsi="Calibri" w:cs="Calibri"/>
          <w:sz w:val="22"/>
          <w:szCs w:val="22"/>
          <w:shd w:val="clear" w:color="auto" w:fill="FFFFFF"/>
        </w:rPr>
        <w:t>Watchman FLX PRO</w:t>
      </w:r>
      <w:r w:rsidR="00351D23" w:rsidRPr="009B0F6E">
        <w:rPr>
          <w:rFonts w:ascii="Calibri" w:hAnsi="Calibri" w:cs="Calibri"/>
          <w:sz w:val="22"/>
          <w:szCs w:val="22"/>
          <w:shd w:val="clear" w:color="auto" w:fill="FFFFFF"/>
        </w:rPr>
        <w:t xml:space="preserve"> </w:t>
      </w:r>
      <w:r w:rsidRPr="009B0F6E">
        <w:rPr>
          <w:rFonts w:ascii="Calibri" w:hAnsi="Calibri" w:cs="Calibri"/>
          <w:sz w:val="22"/>
          <w:szCs w:val="22"/>
          <w:shd w:val="clear" w:color="auto" w:fill="FFFFFF"/>
        </w:rPr>
        <w:t>device to standard medical therapy can improve outcomes in AF patients by reducing the incidence of all-cause stroke and systemic thromboembolism. ELAPSE trial (NCT05976685) will be focused on addressing the value of added LAAC on top on medical therapy in AF patients who have experienced a stroke despite being on anticoagulant therapy.</w:t>
      </w:r>
    </w:p>
    <w:p w14:paraId="7D539453" w14:textId="77777777" w:rsidR="002C3895" w:rsidRPr="009B0F6E" w:rsidRDefault="002C3895" w:rsidP="003A7AD9">
      <w:pPr>
        <w:widowControl w:val="0"/>
        <w:jc w:val="both"/>
        <w:rPr>
          <w:rFonts w:ascii="Calibri" w:hAnsi="Calibri" w:cs="Calibri"/>
          <w:sz w:val="22"/>
          <w:szCs w:val="22"/>
          <w:shd w:val="clear" w:color="auto" w:fill="FFFFFF"/>
        </w:rPr>
      </w:pPr>
    </w:p>
    <w:p w14:paraId="304836AB" w14:textId="0EE93DCC" w:rsidR="00DD3127" w:rsidRPr="001E0E29" w:rsidRDefault="00C1376C" w:rsidP="003A7AD9">
      <w:pPr>
        <w:widowControl w:val="0"/>
        <w:rPr>
          <w:rFonts w:ascii="Calibri" w:hAnsi="Calibri" w:cs="Calibri"/>
          <w:bCs/>
          <w:i/>
          <w:sz w:val="22"/>
          <w:szCs w:val="22"/>
        </w:rPr>
      </w:pPr>
      <w:r w:rsidRPr="001E0E29">
        <w:rPr>
          <w:rFonts w:ascii="Calibri" w:hAnsi="Calibri" w:cs="Calibri"/>
          <w:bCs/>
          <w:i/>
          <w:sz w:val="22"/>
          <w:szCs w:val="22"/>
        </w:rPr>
        <w:t>Post-LAAC management</w:t>
      </w:r>
    </w:p>
    <w:p w14:paraId="304836AD" w14:textId="1FFA32D6"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Several preclinical studies suggest that completion of the endothelialization process in LAAC recipients may require up to 90 days in humans.</w:t>
      </w:r>
      <w:r w:rsidRPr="009B0F6E">
        <w:rPr>
          <w:rFonts w:ascii="Calibri" w:hAnsi="Calibri" w:cs="Calibri"/>
          <w:sz w:val="22"/>
          <w:szCs w:val="22"/>
          <w:vertAlign w:val="superscript"/>
        </w:rPr>
        <w:t>5</w:t>
      </w:r>
      <w:r w:rsidR="00D12D68" w:rsidRPr="009B0F6E">
        <w:rPr>
          <w:rFonts w:ascii="Calibri" w:hAnsi="Calibri" w:cs="Calibri"/>
          <w:sz w:val="22"/>
          <w:szCs w:val="22"/>
          <w:vertAlign w:val="superscript"/>
        </w:rPr>
        <w:t>5</w:t>
      </w:r>
    </w:p>
    <w:p w14:paraId="05A3486B" w14:textId="77777777" w:rsidR="00DC4445" w:rsidRPr="009B0F6E" w:rsidRDefault="00DC4445" w:rsidP="003A7AD9">
      <w:pPr>
        <w:widowControl w:val="0"/>
        <w:jc w:val="both"/>
        <w:rPr>
          <w:rFonts w:ascii="Calibri" w:hAnsi="Calibri" w:cs="Calibri"/>
          <w:sz w:val="22"/>
          <w:szCs w:val="22"/>
        </w:rPr>
      </w:pPr>
    </w:p>
    <w:p w14:paraId="304836AE" w14:textId="40708353"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Consequently, dual antithrombotic (DAT) therapy for at least 6 months following LAAC, including both OAC and SAPT or DAPT, have been described and used since the first RCTs. Current guidelines recommend the OAC (including DOAC) plus aspirin or DAPT for 45 days, followed by 4.5 months of DAPT and then aspirin alone.</w:t>
      </w:r>
      <w:r w:rsidRPr="009B0F6E">
        <w:rPr>
          <w:rFonts w:ascii="Calibri" w:hAnsi="Calibri" w:cs="Calibri"/>
          <w:sz w:val="22"/>
          <w:szCs w:val="22"/>
          <w:vertAlign w:val="superscript"/>
        </w:rPr>
        <w:t>5,4</w:t>
      </w:r>
      <w:r w:rsidR="00D12D68" w:rsidRPr="009B0F6E">
        <w:rPr>
          <w:rFonts w:ascii="Calibri" w:hAnsi="Calibri" w:cs="Calibri"/>
          <w:sz w:val="22"/>
          <w:szCs w:val="22"/>
          <w:vertAlign w:val="superscript"/>
        </w:rPr>
        <w:t>6</w:t>
      </w:r>
    </w:p>
    <w:p w14:paraId="641DEC4A" w14:textId="77777777" w:rsidR="00DC4445" w:rsidRPr="009B0F6E" w:rsidRDefault="00DC4445" w:rsidP="003A7AD9">
      <w:pPr>
        <w:widowControl w:val="0"/>
        <w:jc w:val="both"/>
        <w:rPr>
          <w:rFonts w:ascii="Calibri" w:hAnsi="Calibri" w:cs="Calibri"/>
          <w:sz w:val="22"/>
          <w:szCs w:val="22"/>
        </w:rPr>
      </w:pPr>
    </w:p>
    <w:p w14:paraId="304836AF" w14:textId="1BC7709E"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However, antithrombotic strategies used in daily clinical practice often diverge from these recommendations, as most patients referred to LAAC are elderly, have a high bleeding risk, and are deemed non-eligible even for short-term OAC.</w:t>
      </w:r>
      <w:r w:rsidRPr="009B0F6E">
        <w:rPr>
          <w:rFonts w:ascii="Calibri" w:hAnsi="Calibri" w:cs="Calibri"/>
          <w:sz w:val="22"/>
          <w:szCs w:val="22"/>
          <w:vertAlign w:val="superscript"/>
        </w:rPr>
        <w:t>5</w:t>
      </w:r>
      <w:r w:rsidR="00D12D68" w:rsidRPr="009B0F6E">
        <w:rPr>
          <w:rFonts w:ascii="Calibri" w:hAnsi="Calibri" w:cs="Calibri"/>
          <w:sz w:val="22"/>
          <w:szCs w:val="22"/>
          <w:vertAlign w:val="superscript"/>
        </w:rPr>
        <w:t>6</w:t>
      </w:r>
    </w:p>
    <w:p w14:paraId="6AFEAE4B" w14:textId="77777777" w:rsidR="00DC4445" w:rsidRPr="009B0F6E" w:rsidRDefault="00DC4445" w:rsidP="003A7AD9">
      <w:pPr>
        <w:widowControl w:val="0"/>
        <w:jc w:val="both"/>
        <w:rPr>
          <w:rFonts w:ascii="Calibri" w:hAnsi="Calibri" w:cs="Calibri"/>
          <w:sz w:val="22"/>
          <w:szCs w:val="22"/>
        </w:rPr>
      </w:pPr>
    </w:p>
    <w:p w14:paraId="304836B0" w14:textId="4D3827A7" w:rsidR="00DD3127" w:rsidRPr="001E0E29" w:rsidRDefault="00C1376C" w:rsidP="003A7AD9">
      <w:pPr>
        <w:widowControl w:val="0"/>
        <w:jc w:val="both"/>
        <w:rPr>
          <w:rFonts w:ascii="Calibri" w:hAnsi="Calibri" w:cs="Calibri"/>
          <w:sz w:val="22"/>
          <w:szCs w:val="22"/>
        </w:rPr>
      </w:pPr>
      <w:r w:rsidRPr="009B0F6E">
        <w:rPr>
          <w:rFonts w:ascii="Calibri" w:hAnsi="Calibri" w:cs="Calibri"/>
          <w:sz w:val="22"/>
          <w:szCs w:val="22"/>
        </w:rPr>
        <w:t>Moreover, specific individual circumstances, such as a history of major bleeding or renal dysfunction, frequently require a personalized approach, and the evidence available so far suggests that antithrombotic therapy after LAAC should be tailored based on several parameters, including patient characteristics and procedural outcomes. Current European device labeling recommends the use of DAPT for 3 months in patients in whom the standard PROTECT-AF post-implantation regimen cannot be followed after Watchman or Amplatzer Cardiac Plug/Amulet implantation.</w:t>
      </w:r>
      <w:r w:rsidRPr="009B0F6E">
        <w:rPr>
          <w:rFonts w:ascii="Calibri" w:hAnsi="Calibri" w:cs="Calibri"/>
          <w:sz w:val="22"/>
          <w:szCs w:val="22"/>
          <w:vertAlign w:val="superscript"/>
        </w:rPr>
        <w:t>4</w:t>
      </w:r>
      <w:r w:rsidR="00D12D68" w:rsidRPr="009B0F6E">
        <w:rPr>
          <w:rFonts w:ascii="Calibri" w:hAnsi="Calibri" w:cs="Calibri"/>
          <w:sz w:val="22"/>
          <w:szCs w:val="22"/>
          <w:vertAlign w:val="superscript"/>
        </w:rPr>
        <w:t>6</w:t>
      </w:r>
    </w:p>
    <w:p w14:paraId="304836B1" w14:textId="77777777" w:rsidR="00DD3127" w:rsidRPr="009B0F6E" w:rsidRDefault="00DD3127" w:rsidP="003A7AD9">
      <w:pPr>
        <w:widowControl w:val="0"/>
        <w:jc w:val="both"/>
        <w:rPr>
          <w:rFonts w:ascii="Calibri" w:hAnsi="Calibri" w:cs="Calibri"/>
          <w:sz w:val="22"/>
          <w:szCs w:val="22"/>
        </w:rPr>
      </w:pPr>
    </w:p>
    <w:p w14:paraId="304836B2" w14:textId="78B3CDB0"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Several reports suggest that DAPT may increase bleeding risk, calling its net benefit into question particularly in those with prohibitive hemorrhagic risk.</w:t>
      </w:r>
      <w:r w:rsidRPr="009B0F6E">
        <w:rPr>
          <w:rFonts w:ascii="Calibri" w:hAnsi="Calibri" w:cs="Calibri"/>
          <w:sz w:val="22"/>
          <w:szCs w:val="22"/>
          <w:vertAlign w:val="superscript"/>
        </w:rPr>
        <w:t>5</w:t>
      </w:r>
      <w:r w:rsidR="00B72F4E" w:rsidRPr="009B0F6E">
        <w:rPr>
          <w:rFonts w:ascii="Calibri" w:hAnsi="Calibri" w:cs="Calibri"/>
          <w:sz w:val="22"/>
          <w:szCs w:val="22"/>
          <w:vertAlign w:val="superscript"/>
        </w:rPr>
        <w:t>7</w:t>
      </w:r>
      <w:proofErr w:type="gramStart"/>
      <w:r w:rsidRPr="009B0F6E">
        <w:rPr>
          <w:rFonts w:ascii="Calibri" w:hAnsi="Calibri" w:cs="Calibri"/>
          <w:sz w:val="22"/>
          <w:szCs w:val="22"/>
          <w:vertAlign w:val="superscript"/>
        </w:rPr>
        <w:t>,</w:t>
      </w:r>
      <w:r w:rsidR="00B72F4E" w:rsidRPr="009B0F6E">
        <w:rPr>
          <w:rFonts w:ascii="Calibri" w:hAnsi="Calibri" w:cs="Calibri"/>
          <w:sz w:val="22"/>
          <w:szCs w:val="22"/>
          <w:vertAlign w:val="superscript"/>
        </w:rPr>
        <w:t>58</w:t>
      </w:r>
      <w:proofErr w:type="gramEnd"/>
    </w:p>
    <w:p w14:paraId="4771642A" w14:textId="77777777" w:rsidR="00DC4445" w:rsidRPr="009B0F6E" w:rsidRDefault="00DC4445" w:rsidP="003A7AD9">
      <w:pPr>
        <w:widowControl w:val="0"/>
        <w:jc w:val="both"/>
        <w:rPr>
          <w:rFonts w:ascii="Calibri" w:hAnsi="Calibri" w:cs="Calibri"/>
          <w:sz w:val="22"/>
          <w:szCs w:val="22"/>
        </w:rPr>
      </w:pPr>
    </w:p>
    <w:p w14:paraId="304836B3" w14:textId="469DF1D4"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In the Amulet Observational Study, the major bleeding rate at 1-year follow-up was 10.1%, with most bleeding events occurring within 3 months after LAAC in patients discharged on DAPT.</w:t>
      </w:r>
      <w:r w:rsidR="00CF4489" w:rsidRPr="009B0F6E">
        <w:rPr>
          <w:rFonts w:ascii="Calibri" w:hAnsi="Calibri" w:cs="Calibri"/>
          <w:sz w:val="22"/>
          <w:szCs w:val="22"/>
          <w:vertAlign w:val="superscript"/>
        </w:rPr>
        <w:t>59</w:t>
      </w:r>
    </w:p>
    <w:p w14:paraId="641C6EE8" w14:textId="77777777" w:rsidR="00DC4445" w:rsidRPr="009B0F6E" w:rsidRDefault="00DC4445" w:rsidP="003A7AD9">
      <w:pPr>
        <w:widowControl w:val="0"/>
        <w:jc w:val="both"/>
        <w:rPr>
          <w:rFonts w:ascii="Calibri" w:hAnsi="Calibri" w:cs="Calibri"/>
          <w:sz w:val="22"/>
          <w:szCs w:val="22"/>
        </w:rPr>
      </w:pPr>
    </w:p>
    <w:p w14:paraId="304836B4" w14:textId="3850E413"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Søndergaard et al. analyzed patients undergoing Watchman implantation discharged on combined OAC (95% on VKA) plus aspirin or antiplatelet therapy (91% on DAPT), using a propensity score–matched design.</w:t>
      </w:r>
      <w:r w:rsidRPr="009B0F6E">
        <w:rPr>
          <w:rFonts w:ascii="Calibri" w:hAnsi="Calibri" w:cs="Calibri"/>
          <w:sz w:val="22"/>
          <w:szCs w:val="22"/>
          <w:vertAlign w:val="superscript"/>
        </w:rPr>
        <w:t>6</w:t>
      </w:r>
      <w:r w:rsidR="00CF4489" w:rsidRPr="009B0F6E">
        <w:rPr>
          <w:rFonts w:ascii="Calibri" w:hAnsi="Calibri" w:cs="Calibri"/>
          <w:sz w:val="22"/>
          <w:szCs w:val="22"/>
          <w:vertAlign w:val="superscript"/>
        </w:rPr>
        <w:t>0</w:t>
      </w:r>
      <w:r w:rsidRPr="009B0F6E">
        <w:rPr>
          <w:rFonts w:ascii="Calibri" w:hAnsi="Calibri" w:cs="Calibri"/>
          <w:sz w:val="22"/>
          <w:szCs w:val="22"/>
        </w:rPr>
        <w:t xml:space="preserve"> At 6 months, rates of non-procedural thromboembolic events and major bleeding were similar in the two groups. While this study suggests that DAPT is not associated with worse outcomes than VKA plus single antiplatelet therapy, this apparent benefit should be interpreted in the context of an outdated comparator, as VKA-based regimens have largely been replaced in contemporary practice by DOAC-based strategies with a more favorable bleeding profile. Additionally, authors reported that device-related thrombosis (DRT) occurred more frequently in patients on antiplatelet therapy (3.1% vs 1.4%; p = 0.014), a difference that remained significant even after excluding patients discharged on single antiplatelet therapy (3.3% vs 1.1%; p = 0.005). Whereas current guidelines favor a stepwise strategy, Della Rocca et al. instead explored a sequential, reduced-intensity regimen based on half-dose DOAC plus aspirin for 45 days followed by half-dose DOAC alone. The authors found that at 13 months, this sequential half-dose DOAC (hdDOAC) strategy was associated with significantly lower rates of DRT (0.0% vs. 3.4%; p = 0.009), non-procedural major bleeding (0.5% vs. 3.9%; p = 0.018), and the composite of DRT, thromboembolic events and major bleeding (1.0% vs. 9.5%; p = 0.002) compared with the standard regimen.</w:t>
      </w:r>
      <w:r w:rsidRPr="009B0F6E">
        <w:rPr>
          <w:rFonts w:ascii="Calibri" w:hAnsi="Calibri" w:cs="Calibri"/>
          <w:sz w:val="22"/>
          <w:szCs w:val="22"/>
          <w:vertAlign w:val="superscript"/>
        </w:rPr>
        <w:t>6</w:t>
      </w:r>
      <w:r w:rsidR="00CF4489" w:rsidRPr="009B0F6E">
        <w:rPr>
          <w:rFonts w:ascii="Calibri" w:hAnsi="Calibri" w:cs="Calibri"/>
          <w:sz w:val="22"/>
          <w:szCs w:val="22"/>
          <w:vertAlign w:val="superscript"/>
        </w:rPr>
        <w:t>1</w:t>
      </w:r>
      <w:r w:rsidRPr="009B0F6E">
        <w:rPr>
          <w:rFonts w:ascii="Calibri" w:hAnsi="Calibri" w:cs="Calibri"/>
          <w:sz w:val="22"/>
          <w:szCs w:val="22"/>
        </w:rPr>
        <w:t xml:space="preserve"> HdDOAC may represent a safer choice in patients undergoing LAA closure who have a known contraindication for long-term full-dose anticoagulation. In a large cohort of Asian AF patients, low-dose DOAC was associated with a significantly lower risk of major bleeding compared with vitamin K antagonists (HR: 0.85; 95% CI: 0.74–0.97)</w:t>
      </w:r>
      <w:r w:rsidR="00B01F9D" w:rsidRPr="009B0F6E">
        <w:rPr>
          <w:rFonts w:ascii="Calibri" w:hAnsi="Calibri" w:cs="Calibri"/>
          <w:sz w:val="22"/>
          <w:szCs w:val="22"/>
        </w:rPr>
        <w:t>.</w:t>
      </w:r>
      <w:r w:rsidRPr="009B0F6E">
        <w:rPr>
          <w:rFonts w:ascii="Calibri" w:hAnsi="Calibri" w:cs="Calibri"/>
          <w:sz w:val="22"/>
          <w:szCs w:val="22"/>
          <w:vertAlign w:val="superscript"/>
        </w:rPr>
        <w:t>6</w:t>
      </w:r>
      <w:r w:rsidR="00CF4489" w:rsidRPr="009B0F6E">
        <w:rPr>
          <w:rFonts w:ascii="Calibri" w:hAnsi="Calibri" w:cs="Calibri"/>
          <w:sz w:val="22"/>
          <w:szCs w:val="22"/>
          <w:vertAlign w:val="superscript"/>
        </w:rPr>
        <w:t>2</w:t>
      </w:r>
      <w:r w:rsidRPr="009B0F6E">
        <w:rPr>
          <w:rFonts w:ascii="Calibri" w:hAnsi="Calibri" w:cs="Calibri"/>
          <w:sz w:val="22"/>
          <w:szCs w:val="22"/>
        </w:rPr>
        <w:t xml:space="preserve"> In the prospective GARFIELD-AF (Global Anticoagulant Registry in the FIELD-AF) trial, bleeding rates were lower in underdosed patients compared with those treated with guideline-recommended doses</w:t>
      </w:r>
      <w:r w:rsidR="00CF4489" w:rsidRPr="009B0F6E">
        <w:rPr>
          <w:rFonts w:ascii="Calibri" w:hAnsi="Calibri" w:cs="Calibri"/>
          <w:sz w:val="22"/>
          <w:szCs w:val="22"/>
        </w:rPr>
        <w:t>;</w:t>
      </w:r>
      <w:r w:rsidRPr="009B0F6E">
        <w:rPr>
          <w:rFonts w:ascii="Calibri" w:hAnsi="Calibri" w:cs="Calibri"/>
          <w:sz w:val="22"/>
          <w:szCs w:val="22"/>
          <w:vertAlign w:val="superscript"/>
        </w:rPr>
        <w:t>6</w:t>
      </w:r>
      <w:r w:rsidR="00CF4489" w:rsidRPr="009B0F6E">
        <w:rPr>
          <w:rFonts w:ascii="Calibri" w:hAnsi="Calibri" w:cs="Calibri"/>
          <w:sz w:val="22"/>
          <w:szCs w:val="22"/>
          <w:vertAlign w:val="superscript"/>
        </w:rPr>
        <w:t>3</w:t>
      </w:r>
      <w:r w:rsidRPr="009B0F6E">
        <w:rPr>
          <w:rFonts w:ascii="Calibri" w:hAnsi="Calibri" w:cs="Calibri"/>
          <w:sz w:val="22"/>
          <w:szCs w:val="22"/>
        </w:rPr>
        <w:t xml:space="preserve"> notably, in low-dosing patients, the rate of major bleeding per 100 person-years was 0.3 (95% CI: 0.2–0.5), confirming the favorable safety profile of reduced-dose DOAC.</w:t>
      </w:r>
    </w:p>
    <w:p w14:paraId="31D79758" w14:textId="77777777" w:rsidR="00DC4445" w:rsidRPr="009B0F6E" w:rsidRDefault="00DC4445" w:rsidP="003A7AD9">
      <w:pPr>
        <w:widowControl w:val="0"/>
        <w:jc w:val="both"/>
        <w:rPr>
          <w:rFonts w:ascii="Calibri" w:hAnsi="Calibri" w:cs="Calibri"/>
          <w:sz w:val="22"/>
          <w:szCs w:val="22"/>
        </w:rPr>
      </w:pPr>
    </w:p>
    <w:p w14:paraId="304836B5" w14:textId="016BD020"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Several observations also provide a pathophysiological rationale for this approach. Rodés-Cabau et al.</w:t>
      </w:r>
      <w:r w:rsidRPr="009B0F6E">
        <w:rPr>
          <w:rFonts w:ascii="Calibri" w:hAnsi="Calibri" w:cs="Calibri"/>
          <w:sz w:val="22"/>
          <w:szCs w:val="22"/>
          <w:vertAlign w:val="superscript"/>
        </w:rPr>
        <w:t>6</w:t>
      </w:r>
      <w:r w:rsidR="000C15C9" w:rsidRPr="009B0F6E">
        <w:rPr>
          <w:rFonts w:ascii="Calibri" w:hAnsi="Calibri" w:cs="Calibri"/>
          <w:sz w:val="22"/>
          <w:szCs w:val="22"/>
          <w:vertAlign w:val="superscript"/>
        </w:rPr>
        <w:t>4</w:t>
      </w:r>
      <w:r w:rsidRPr="009B0F6E">
        <w:rPr>
          <w:rFonts w:ascii="Calibri" w:hAnsi="Calibri" w:cs="Calibri"/>
          <w:sz w:val="22"/>
          <w:szCs w:val="22"/>
        </w:rPr>
        <w:t xml:space="preserve"> and Asmarats et al.</w:t>
      </w:r>
      <w:r w:rsidRPr="009B0F6E">
        <w:rPr>
          <w:rFonts w:ascii="Calibri" w:hAnsi="Calibri" w:cs="Calibri"/>
          <w:sz w:val="22"/>
          <w:szCs w:val="22"/>
          <w:vertAlign w:val="superscript"/>
        </w:rPr>
        <w:t>6</w:t>
      </w:r>
      <w:r w:rsidR="000C15C9" w:rsidRPr="009B0F6E">
        <w:rPr>
          <w:rFonts w:ascii="Calibri" w:hAnsi="Calibri" w:cs="Calibri"/>
          <w:sz w:val="22"/>
          <w:szCs w:val="22"/>
          <w:vertAlign w:val="superscript"/>
        </w:rPr>
        <w:t>5</w:t>
      </w:r>
      <w:r w:rsidRPr="009B0F6E">
        <w:rPr>
          <w:rFonts w:ascii="Calibri" w:hAnsi="Calibri" w:cs="Calibri"/>
          <w:sz w:val="22"/>
          <w:szCs w:val="22"/>
        </w:rPr>
        <w:t xml:space="preserve"> showed that LAAC is followed predominantly by activation of the coagulation cascade, with minimal alteration of platelet function: patients treated with OAC had lower coagulation activity and no DRT, whereas DRT events were mainly observed in patients on antiplatelet therapy, who also exhibited higher levels of prothrombotic markers. The ADRIFT (Assessment of Dual Antiplatelet Therapy versus Rivaroxaban in Atrial Fibrillation Patients Treated with Left Atrial Appendage Closure) trial randomized 105 patients after successful LAAC to three regimens: rivaroxaban 10 mg, rivaroxaban 15 mg, or DAPT. In this study, reduced-dose rivaroxaban was associated with significantly lower thrombin generation compared with DAPT, and no DRT was detected at 3-month follow-up in either rivaroxaban arm, in contrast to the DAPT group (0% vs 0% vs 6.1%).</w:t>
      </w:r>
      <w:r w:rsidRPr="009B0F6E">
        <w:rPr>
          <w:rFonts w:ascii="Calibri" w:hAnsi="Calibri" w:cs="Calibri"/>
          <w:sz w:val="22"/>
          <w:szCs w:val="22"/>
          <w:vertAlign w:val="superscript"/>
        </w:rPr>
        <w:t>6</w:t>
      </w:r>
      <w:r w:rsidR="000C15C9" w:rsidRPr="009B0F6E">
        <w:rPr>
          <w:rFonts w:ascii="Calibri" w:hAnsi="Calibri" w:cs="Calibri"/>
          <w:sz w:val="22"/>
          <w:szCs w:val="22"/>
          <w:vertAlign w:val="superscript"/>
        </w:rPr>
        <w:t>6</w:t>
      </w:r>
      <w:r w:rsidR="00B01F9D" w:rsidRPr="001E0E29">
        <w:rPr>
          <w:rFonts w:ascii="Calibri" w:hAnsi="Calibri" w:cs="Calibri"/>
          <w:sz w:val="22"/>
          <w:szCs w:val="22"/>
        </w:rPr>
        <w:t xml:space="preserve"> </w:t>
      </w:r>
      <w:r w:rsidRPr="009B0F6E">
        <w:rPr>
          <w:rFonts w:ascii="Calibri" w:hAnsi="Calibri" w:cs="Calibri"/>
          <w:sz w:val="22"/>
          <w:szCs w:val="22"/>
        </w:rPr>
        <w:t>Similarly, the ADALA (Low-Dose Direct Oral Anticoagulation vs Dual Antiplatelet Therapy After Left Atrial Appendage Occlusion) study showed that 3 months of low-dose DOAC (apixaban 2.5 mg bid) may reduce the composite of major bleeding and thromboembolic events compared with DAPT, without increasing ischemic events.</w:t>
      </w:r>
      <w:r w:rsidRPr="009B0F6E">
        <w:rPr>
          <w:rFonts w:ascii="Calibri" w:hAnsi="Calibri" w:cs="Calibri"/>
          <w:sz w:val="22"/>
          <w:szCs w:val="22"/>
          <w:vertAlign w:val="superscript"/>
        </w:rPr>
        <w:t>6</w:t>
      </w:r>
      <w:r w:rsidR="000C15C9" w:rsidRPr="009B0F6E">
        <w:rPr>
          <w:rFonts w:ascii="Calibri" w:hAnsi="Calibri" w:cs="Calibri"/>
          <w:sz w:val="22"/>
          <w:szCs w:val="22"/>
          <w:vertAlign w:val="superscript"/>
        </w:rPr>
        <w:t>7</w:t>
      </w:r>
      <w:r w:rsidRPr="009B0F6E">
        <w:rPr>
          <w:rFonts w:ascii="Calibri" w:hAnsi="Calibri" w:cs="Calibri"/>
          <w:sz w:val="22"/>
          <w:szCs w:val="22"/>
        </w:rPr>
        <w:t xml:space="preserve"> However, in the recent ANDES trial short-term DOAC therapy did not significantly lower the incidence of DRT compared with DAPT. Notably, the use of short term DOAC was associated with a better overall safety profile, mainly driven by fewer bleeding events.</w:t>
      </w:r>
      <w:r w:rsidR="000C15C9" w:rsidRPr="009B0F6E">
        <w:rPr>
          <w:rFonts w:ascii="Calibri" w:hAnsi="Calibri" w:cs="Calibri"/>
          <w:sz w:val="22"/>
          <w:szCs w:val="22"/>
          <w:vertAlign w:val="superscript"/>
        </w:rPr>
        <w:t>68</w:t>
      </w:r>
      <w:r w:rsidRPr="009B0F6E">
        <w:rPr>
          <w:rFonts w:ascii="Calibri" w:hAnsi="Calibri" w:cs="Calibri"/>
          <w:sz w:val="22"/>
          <w:szCs w:val="22"/>
        </w:rPr>
        <w:t xml:space="preserve"> That said, given the lower-than-expected event rates and between-group differences, the study was underpowered for its primary endpoint, and its findings should be interpreted as hypothesis-generating and in need of confirmation by further dedicated trials.</w:t>
      </w:r>
    </w:p>
    <w:p w14:paraId="36D5D560" w14:textId="77777777" w:rsidR="00DC4445" w:rsidRPr="009B0F6E" w:rsidRDefault="00DC4445" w:rsidP="003A7AD9">
      <w:pPr>
        <w:widowControl w:val="0"/>
        <w:jc w:val="both"/>
        <w:rPr>
          <w:rFonts w:ascii="Calibri" w:hAnsi="Calibri" w:cs="Calibri"/>
          <w:sz w:val="22"/>
          <w:szCs w:val="22"/>
        </w:rPr>
      </w:pPr>
    </w:p>
    <w:p w14:paraId="304836B6" w14:textId="46932E14"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Although these data have not been specifically extracted from populations at the highest risk of bleeding it is plausible that the benefits of reduced-intensity or reduced-duration DOAC-based strategies may extend to these groups; however, this assumption requires confirmation in dedicated, adequately powered studies. Importantly, it must be noted that even short-term OAC may remain unfeasible in patients with an absolute contraindication to DOAC. In clinical practice, a small but non-negligible proportion of LAAC candidates have such an extreme bleeding risk (e.g., diffuse cerebral amyloid angiopathy, prior intracranial hemorrhage, severe hematologic disorders, bowel angiodysplasia, or recurrent GI bleeding) that even hdDOAC or DAPT may not be feasible. In major registries, 5–10% of patients have been discharged on SAPT or no antithrombotic therapy, with overall DRT rates generally low and not consistently different across regimens, although data are heterogeneous and limited.</w:t>
      </w:r>
      <w:r w:rsidR="000C15C9" w:rsidRPr="009B0F6E">
        <w:rPr>
          <w:rFonts w:ascii="Calibri" w:hAnsi="Calibri" w:cs="Calibri"/>
          <w:sz w:val="22"/>
          <w:szCs w:val="22"/>
          <w:vertAlign w:val="superscript"/>
        </w:rPr>
        <w:t>69</w:t>
      </w:r>
      <w:r w:rsidRPr="009B0F6E">
        <w:rPr>
          <w:rFonts w:ascii="Calibri" w:hAnsi="Calibri" w:cs="Calibri"/>
          <w:sz w:val="22"/>
          <w:szCs w:val="22"/>
          <w:vertAlign w:val="superscript"/>
        </w:rPr>
        <w:t>,7</w:t>
      </w:r>
      <w:r w:rsidR="000C15C9" w:rsidRPr="009B0F6E">
        <w:rPr>
          <w:rFonts w:ascii="Calibri" w:hAnsi="Calibri" w:cs="Calibri"/>
          <w:sz w:val="22"/>
          <w:szCs w:val="22"/>
          <w:vertAlign w:val="superscript"/>
        </w:rPr>
        <w:t>0</w:t>
      </w:r>
      <w:r w:rsidRPr="009B0F6E">
        <w:rPr>
          <w:rFonts w:ascii="Calibri" w:hAnsi="Calibri" w:cs="Calibri"/>
          <w:sz w:val="22"/>
          <w:szCs w:val="22"/>
        </w:rPr>
        <w:t xml:space="preserve"> Notably, in the RELEXAO registry, patients discharged without any antithrombotic treatment had a higher incidence of DRT than those receiving some form of antithrombotic therapy (15.4% vs 4.5%; P</w:t>
      </w:r>
      <w:r w:rsidR="004F0C99" w:rsidRPr="009B0F6E">
        <w:rPr>
          <w:rFonts w:ascii="Calibri" w:hAnsi="Calibri" w:cs="Calibri"/>
          <w:sz w:val="22"/>
          <w:szCs w:val="22"/>
        </w:rPr>
        <w:t xml:space="preserve"> </w:t>
      </w:r>
      <w:r w:rsidRPr="009B0F6E">
        <w:rPr>
          <w:rFonts w:ascii="Calibri" w:hAnsi="Calibri" w:cs="Calibri"/>
          <w:sz w:val="22"/>
          <w:szCs w:val="22"/>
        </w:rPr>
        <w:t>=</w:t>
      </w:r>
      <w:r w:rsidR="004F0C99" w:rsidRPr="009B0F6E">
        <w:rPr>
          <w:rFonts w:ascii="Calibri" w:hAnsi="Calibri" w:cs="Calibri"/>
          <w:sz w:val="22"/>
          <w:szCs w:val="22"/>
        </w:rPr>
        <w:t xml:space="preserve"> </w:t>
      </w:r>
      <w:r w:rsidRPr="009B0F6E">
        <w:rPr>
          <w:rFonts w:ascii="Calibri" w:hAnsi="Calibri" w:cs="Calibri"/>
          <w:sz w:val="22"/>
          <w:szCs w:val="22"/>
        </w:rPr>
        <w:t>0.02), highlighting the potential hazard of complete therapy withdrawal.</w:t>
      </w:r>
      <w:r w:rsidRPr="009B0F6E">
        <w:rPr>
          <w:rFonts w:ascii="Calibri" w:hAnsi="Calibri" w:cs="Calibri"/>
          <w:sz w:val="22"/>
          <w:szCs w:val="22"/>
          <w:vertAlign w:val="superscript"/>
        </w:rPr>
        <w:t>7</w:t>
      </w:r>
      <w:r w:rsidR="00834D4C" w:rsidRPr="009B0F6E">
        <w:rPr>
          <w:rFonts w:ascii="Calibri" w:hAnsi="Calibri" w:cs="Calibri"/>
          <w:sz w:val="22"/>
          <w:szCs w:val="22"/>
          <w:vertAlign w:val="superscript"/>
        </w:rPr>
        <w:t>1</w:t>
      </w:r>
      <w:r w:rsidRPr="009B0F6E">
        <w:rPr>
          <w:rFonts w:ascii="Calibri" w:hAnsi="Calibri" w:cs="Calibri"/>
          <w:sz w:val="22"/>
          <w:szCs w:val="22"/>
        </w:rPr>
        <w:t xml:space="preserve"> Given the observational nature, small sample sizes and strong selection bias of these studies, SAPT or no antithrombotic therapy after LAAC should therefore be reserved for highly selected patients with absolute contraindications to any OAC- or DAPT-based regimen, after careful Heart Team evaluation of the individual trade-off between thromboembolic and bleeding risk. A final consideration concerns patients with AF and severe renal impairment, in whom the potential benefit of LAAC (namely, the possibility of discontinuing long-term antithrombotic therapy) may outweigh not only the periprocedural risk of the intervention but also those associated with the post-procedural bridging period, until complete device endothelialization has occurred. Patients with CKD are known to have a higher intrinsic bleeding risk due to several mechanisms, including impaired platelet adhesion and activation. A recent analysis from the OCEAN-LAAC registry supports the feasibility of LAAC in AF patients undergoing hemodialysis (HD).</w:t>
      </w:r>
      <w:r w:rsidRPr="009B0F6E">
        <w:rPr>
          <w:rFonts w:ascii="Calibri" w:hAnsi="Calibri" w:cs="Calibri"/>
          <w:sz w:val="22"/>
          <w:szCs w:val="22"/>
          <w:vertAlign w:val="superscript"/>
        </w:rPr>
        <w:t>7</w:t>
      </w:r>
      <w:r w:rsidR="00834D4C" w:rsidRPr="009B0F6E">
        <w:rPr>
          <w:rFonts w:ascii="Calibri" w:hAnsi="Calibri" w:cs="Calibri"/>
          <w:sz w:val="22"/>
          <w:szCs w:val="22"/>
          <w:vertAlign w:val="superscript"/>
        </w:rPr>
        <w:t>2</w:t>
      </w:r>
      <w:r w:rsidRPr="009B0F6E">
        <w:rPr>
          <w:rFonts w:ascii="Calibri" w:hAnsi="Calibri" w:cs="Calibri"/>
          <w:sz w:val="22"/>
          <w:szCs w:val="22"/>
        </w:rPr>
        <w:t xml:space="preserve"> </w:t>
      </w:r>
      <w:proofErr w:type="gramStart"/>
      <w:r w:rsidRPr="009B0F6E">
        <w:rPr>
          <w:rFonts w:ascii="Calibri" w:hAnsi="Calibri" w:cs="Calibri"/>
          <w:sz w:val="22"/>
          <w:szCs w:val="22"/>
        </w:rPr>
        <w:t>More</w:t>
      </w:r>
      <w:proofErr w:type="gramEnd"/>
      <w:r w:rsidRPr="009B0F6E">
        <w:rPr>
          <w:rFonts w:ascii="Calibri" w:hAnsi="Calibri" w:cs="Calibri"/>
          <w:sz w:val="22"/>
          <w:szCs w:val="22"/>
        </w:rPr>
        <w:t xml:space="preserve"> specifically, there was no significant difference in the cumulative incidence of major bleeding or ischemic stroke between HD and non-HD patients. However, patients in the non-HD group were older, had a more frequent history of prior bleeding, more frequent alcohol use, and a higher prevalence of hypertension. Therefore, these findings may be biased by baseline differences between groups and should be interpreted with caution. Even though the authors reported that the bleeding event rate did not differ between the two groups during the bridging period, it is not possible to exclude that residual confounding related to the observational, registry-based design may have influenced the reported outcomes and therefore may not fully reflect the true bleeding risk profile in HD patients undergoing LAAC.</w:t>
      </w:r>
    </w:p>
    <w:p w14:paraId="44678583" w14:textId="77777777" w:rsidR="00DC4445" w:rsidRPr="009B0F6E" w:rsidRDefault="00DC4445" w:rsidP="003A7AD9">
      <w:pPr>
        <w:widowControl w:val="0"/>
        <w:jc w:val="both"/>
        <w:rPr>
          <w:rFonts w:ascii="Calibri" w:hAnsi="Calibri" w:cs="Calibri"/>
          <w:sz w:val="22"/>
          <w:szCs w:val="22"/>
        </w:rPr>
      </w:pPr>
    </w:p>
    <w:p w14:paraId="304836B7" w14:textId="46CFB782"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Recent data support an overall superior safety profile of rivaroxaban and apixaban compared with VKAs in this population, without an associated increase in stroke risk.</w:t>
      </w:r>
      <w:r w:rsidRPr="009B0F6E">
        <w:rPr>
          <w:rFonts w:ascii="Calibri" w:hAnsi="Calibri" w:cs="Calibri"/>
          <w:sz w:val="22"/>
          <w:szCs w:val="22"/>
          <w:vertAlign w:val="superscript"/>
        </w:rPr>
        <w:t>7</w:t>
      </w:r>
      <w:r w:rsidR="00834D4C" w:rsidRPr="009B0F6E">
        <w:rPr>
          <w:rFonts w:ascii="Calibri" w:hAnsi="Calibri" w:cs="Calibri"/>
          <w:sz w:val="22"/>
          <w:szCs w:val="22"/>
          <w:vertAlign w:val="superscript"/>
        </w:rPr>
        <w:t>3</w:t>
      </w:r>
      <w:r w:rsidRPr="009B0F6E">
        <w:rPr>
          <w:rFonts w:ascii="Calibri" w:hAnsi="Calibri" w:cs="Calibri"/>
          <w:sz w:val="22"/>
          <w:szCs w:val="22"/>
          <w:vertAlign w:val="superscript"/>
        </w:rPr>
        <w:t>–7</w:t>
      </w:r>
      <w:r w:rsidR="00834D4C" w:rsidRPr="009B0F6E">
        <w:rPr>
          <w:rFonts w:ascii="Calibri" w:hAnsi="Calibri" w:cs="Calibri"/>
          <w:sz w:val="22"/>
          <w:szCs w:val="22"/>
          <w:vertAlign w:val="superscript"/>
        </w:rPr>
        <w:t>5</w:t>
      </w:r>
      <w:r w:rsidRPr="009B0F6E">
        <w:rPr>
          <w:rFonts w:ascii="Calibri" w:hAnsi="Calibri" w:cs="Calibri"/>
          <w:sz w:val="22"/>
          <w:szCs w:val="22"/>
        </w:rPr>
        <w:t xml:space="preserve"> The American Heart Association (AHA</w:t>
      </w:r>
      <w:proofErr w:type="gramStart"/>
      <w:r w:rsidRPr="009B0F6E">
        <w:rPr>
          <w:rFonts w:ascii="Calibri" w:hAnsi="Calibri" w:cs="Calibri"/>
          <w:sz w:val="22"/>
          <w:szCs w:val="22"/>
        </w:rPr>
        <w:t>)</w:t>
      </w:r>
      <w:r w:rsidRPr="009B0F6E">
        <w:rPr>
          <w:rFonts w:ascii="Calibri" w:hAnsi="Calibri" w:cs="Calibri"/>
          <w:sz w:val="22"/>
          <w:szCs w:val="22"/>
          <w:vertAlign w:val="superscript"/>
        </w:rPr>
        <w:t>4</w:t>
      </w:r>
      <w:proofErr w:type="gramEnd"/>
      <w:r w:rsidRPr="009B0F6E">
        <w:rPr>
          <w:rFonts w:ascii="Calibri" w:hAnsi="Calibri" w:cs="Calibri"/>
          <w:sz w:val="22"/>
          <w:szCs w:val="22"/>
        </w:rPr>
        <w:t xml:space="preserve"> and the Kidney Disease: Improving Global Outcomes (KDIGO) work group</w:t>
      </w:r>
      <w:r w:rsidRPr="009B0F6E">
        <w:rPr>
          <w:rFonts w:ascii="Calibri" w:hAnsi="Calibri" w:cs="Calibri"/>
          <w:sz w:val="22"/>
          <w:szCs w:val="22"/>
          <w:vertAlign w:val="superscript"/>
        </w:rPr>
        <w:t>7</w:t>
      </w:r>
      <w:r w:rsidR="005C7F85" w:rsidRPr="009B0F6E">
        <w:rPr>
          <w:rFonts w:ascii="Calibri" w:hAnsi="Calibri" w:cs="Calibri"/>
          <w:sz w:val="22"/>
          <w:szCs w:val="22"/>
          <w:vertAlign w:val="superscript"/>
        </w:rPr>
        <w:t>6</w:t>
      </w:r>
      <w:r w:rsidRPr="009B0F6E">
        <w:rPr>
          <w:rFonts w:ascii="Calibri" w:hAnsi="Calibri" w:cs="Calibri"/>
          <w:sz w:val="22"/>
          <w:szCs w:val="22"/>
        </w:rPr>
        <w:t xml:space="preserve"> both consider apixaban a reasonable alternative to VKA, as it offers a more favorable efficacy-to-toxicity profile. According to the AHA, both full-dose and reduced-dose regimens (5 mg or 2.5 mg twice daily) can be prescribed, whereas KDIGO recommends apixaban only at a reduced dose. Overall, when weighing the benefit of LAAC in advanced CKD, clinicians must consider both the increased thrombotic risk associated with DAPT/DAT during the post-procedural bridging phase and the intrinsically elevated bleeding risk in these patients. </w:t>
      </w:r>
      <w:proofErr w:type="gramStart"/>
      <w:r w:rsidRPr="009B0F6E">
        <w:rPr>
          <w:rFonts w:ascii="Calibri" w:hAnsi="Calibri" w:cs="Calibri"/>
          <w:sz w:val="22"/>
          <w:szCs w:val="22"/>
        </w:rPr>
        <w:t>A</w:t>
      </w:r>
      <w:proofErr w:type="gramEnd"/>
      <w:r w:rsidRPr="009B0F6E">
        <w:rPr>
          <w:rFonts w:ascii="Calibri" w:hAnsi="Calibri" w:cs="Calibri"/>
          <w:sz w:val="22"/>
          <w:szCs w:val="22"/>
        </w:rPr>
        <w:t xml:space="preserve"> HdDOAC strategy could represent a promising alternative to standard regimens; however, dedicated randomized trials are needed in this specific population to directly compare DAPT, VKA plus single antiplatelet therapy, DOAC or half-dose DOAC strategies.</w:t>
      </w:r>
    </w:p>
    <w:p w14:paraId="304836B8" w14:textId="77777777" w:rsidR="00DD3127" w:rsidRPr="009B0F6E" w:rsidRDefault="00DD3127" w:rsidP="003A7AD9">
      <w:pPr>
        <w:widowControl w:val="0"/>
        <w:jc w:val="both"/>
        <w:rPr>
          <w:rFonts w:ascii="Calibri" w:hAnsi="Calibri" w:cs="Calibri"/>
          <w:sz w:val="22"/>
          <w:szCs w:val="22"/>
        </w:rPr>
      </w:pPr>
    </w:p>
    <w:p w14:paraId="304836B9" w14:textId="5266FB9A" w:rsidR="00DD3127" w:rsidRPr="001E0E29" w:rsidRDefault="00C1376C" w:rsidP="003A7AD9">
      <w:pPr>
        <w:widowControl w:val="0"/>
        <w:jc w:val="both"/>
        <w:rPr>
          <w:rFonts w:ascii="Calibri" w:hAnsi="Calibri" w:cs="Calibri"/>
          <w:bCs/>
          <w:i/>
          <w:sz w:val="22"/>
          <w:szCs w:val="22"/>
        </w:rPr>
      </w:pPr>
      <w:r w:rsidRPr="001E0E29">
        <w:rPr>
          <w:rFonts w:ascii="Calibri" w:hAnsi="Calibri" w:cs="Calibri"/>
          <w:bCs/>
          <w:i/>
          <w:sz w:val="22"/>
          <w:szCs w:val="22"/>
        </w:rPr>
        <w:t>Device-related thrombus (DRT) and peri-device leak (PDL)</w:t>
      </w:r>
    </w:p>
    <w:p w14:paraId="304836BB" w14:textId="643DD58F" w:rsidR="00DD3127" w:rsidRPr="009B0F6E" w:rsidRDefault="00C1376C" w:rsidP="003A7AD9">
      <w:pPr>
        <w:widowControl w:val="0"/>
        <w:jc w:val="both"/>
        <w:rPr>
          <w:rFonts w:ascii="Calibri" w:hAnsi="Calibri" w:cs="Calibri"/>
          <w:sz w:val="22"/>
          <w:szCs w:val="22"/>
        </w:rPr>
      </w:pPr>
      <w:r w:rsidRPr="009B0F6E">
        <w:rPr>
          <w:rFonts w:ascii="Calibri" w:hAnsi="Calibri" w:cs="Calibri"/>
          <w:color w:val="222222"/>
          <w:sz w:val="22"/>
          <w:szCs w:val="22"/>
        </w:rPr>
        <w:t>DRT and residual PDL represent the most common LAAC device complications in clinical practice. DRT is defined as a homogeneous echo-dense mass adherent to the atrial surface of the LAAC device detected by TEE in multiple projections. DRT incidence appears low, roughly in the 1.5–4% rang varying according to device type, post-LAAC antithrombotic regimen, and individual registry.</w:t>
      </w:r>
      <w:r w:rsidRPr="009B0F6E">
        <w:rPr>
          <w:rFonts w:ascii="Calibri" w:hAnsi="Calibri" w:cs="Calibri"/>
          <w:sz w:val="22"/>
          <w:szCs w:val="22"/>
          <w:vertAlign w:val="superscript"/>
        </w:rPr>
        <w:t>2</w:t>
      </w:r>
      <w:r w:rsidR="005C7F85" w:rsidRPr="009B0F6E">
        <w:rPr>
          <w:rFonts w:ascii="Calibri" w:hAnsi="Calibri" w:cs="Calibri"/>
          <w:sz w:val="22"/>
          <w:szCs w:val="22"/>
          <w:vertAlign w:val="superscript"/>
        </w:rPr>
        <w:t>7</w:t>
      </w:r>
      <w:proofErr w:type="gramStart"/>
      <w:r w:rsidRPr="009B0F6E">
        <w:rPr>
          <w:rFonts w:ascii="Calibri" w:hAnsi="Calibri" w:cs="Calibri"/>
          <w:sz w:val="22"/>
          <w:szCs w:val="22"/>
          <w:vertAlign w:val="superscript"/>
        </w:rPr>
        <w:t>,</w:t>
      </w:r>
      <w:r w:rsidR="005C7F85" w:rsidRPr="009B0F6E">
        <w:rPr>
          <w:rFonts w:ascii="Calibri" w:hAnsi="Calibri" w:cs="Calibri"/>
          <w:sz w:val="22"/>
          <w:szCs w:val="22"/>
          <w:vertAlign w:val="superscript"/>
        </w:rPr>
        <w:t>38</w:t>
      </w:r>
      <w:r w:rsidRPr="009B0F6E">
        <w:rPr>
          <w:rFonts w:ascii="Calibri" w:hAnsi="Calibri" w:cs="Calibri"/>
          <w:sz w:val="22"/>
          <w:szCs w:val="22"/>
          <w:vertAlign w:val="superscript"/>
        </w:rPr>
        <w:t>,</w:t>
      </w:r>
      <w:r w:rsidR="005C7F85" w:rsidRPr="009B0F6E">
        <w:rPr>
          <w:rFonts w:ascii="Calibri" w:hAnsi="Calibri" w:cs="Calibri"/>
          <w:sz w:val="22"/>
          <w:szCs w:val="22"/>
          <w:vertAlign w:val="superscript"/>
        </w:rPr>
        <w:t>41,</w:t>
      </w:r>
      <w:r w:rsidRPr="009B0F6E">
        <w:rPr>
          <w:rFonts w:ascii="Calibri" w:hAnsi="Calibri" w:cs="Calibri"/>
          <w:sz w:val="22"/>
          <w:szCs w:val="22"/>
          <w:vertAlign w:val="superscript"/>
        </w:rPr>
        <w:t>4</w:t>
      </w:r>
      <w:r w:rsidR="005C7F85" w:rsidRPr="009B0F6E">
        <w:rPr>
          <w:rFonts w:ascii="Calibri" w:hAnsi="Calibri" w:cs="Calibri"/>
          <w:sz w:val="22"/>
          <w:szCs w:val="22"/>
          <w:vertAlign w:val="superscript"/>
        </w:rPr>
        <w:t>7</w:t>
      </w:r>
      <w:proofErr w:type="gramEnd"/>
      <w:r w:rsidR="005C7F85" w:rsidRPr="009B0F6E">
        <w:rPr>
          <w:rFonts w:ascii="Calibri" w:hAnsi="Calibri" w:cs="Calibri"/>
          <w:color w:val="333333"/>
          <w:sz w:val="22"/>
          <w:szCs w:val="22"/>
        </w:rPr>
        <w:t xml:space="preserve"> </w:t>
      </w:r>
      <w:r w:rsidRPr="009B0F6E">
        <w:rPr>
          <w:rFonts w:ascii="Calibri" w:hAnsi="Calibri" w:cs="Calibri"/>
          <w:color w:val="333333"/>
          <w:sz w:val="22"/>
          <w:szCs w:val="22"/>
        </w:rPr>
        <w:t>A meta-analysis of 66 studies including 10,154 patients who underwent imaging follow-up after LAAC reported a pooled DRT incidence of 3.8%.</w:t>
      </w:r>
      <w:r w:rsidR="001C5CF5" w:rsidRPr="009B0F6E">
        <w:rPr>
          <w:rFonts w:ascii="Calibri" w:hAnsi="Calibri" w:cs="Calibri"/>
          <w:sz w:val="22"/>
          <w:szCs w:val="22"/>
          <w:vertAlign w:val="superscript"/>
        </w:rPr>
        <w:t>77</w:t>
      </w:r>
      <w:r w:rsidRPr="009B0F6E">
        <w:rPr>
          <w:rFonts w:ascii="Calibri" w:hAnsi="Calibri" w:cs="Calibri"/>
          <w:color w:val="333333"/>
          <w:sz w:val="22"/>
          <w:szCs w:val="22"/>
        </w:rPr>
        <w:t xml:space="preserve"> </w:t>
      </w:r>
      <w:r w:rsidRPr="009B0F6E">
        <w:rPr>
          <w:rFonts w:ascii="Calibri" w:hAnsi="Calibri" w:cs="Calibri"/>
          <w:sz w:val="22"/>
          <w:szCs w:val="22"/>
        </w:rPr>
        <w:t>Many factors culminate in DRT, including procoagulant patient-specific factors, choice of antithrombotic agent post-LAAC, and device and implantation specific factors. Left ventricular ejection fraction &lt;40%, female sex, smoking, higher CHA2DS2- VASc score, spontaneous echocardiographic contrast pre-existing LAA thrombus, and LAA peak emptying velocity were identified risk factors.</w:t>
      </w:r>
      <w:r w:rsidR="001C5CF5" w:rsidRPr="009B0F6E">
        <w:rPr>
          <w:rFonts w:ascii="Calibri" w:hAnsi="Calibri" w:cs="Calibri"/>
          <w:sz w:val="22"/>
          <w:szCs w:val="22"/>
          <w:vertAlign w:val="superscript"/>
        </w:rPr>
        <w:t>78</w:t>
      </w:r>
      <w:r w:rsidRPr="009B0F6E">
        <w:rPr>
          <w:rFonts w:ascii="Calibri" w:hAnsi="Calibri" w:cs="Calibri"/>
          <w:sz w:val="22"/>
          <w:szCs w:val="22"/>
          <w:vertAlign w:val="superscript"/>
        </w:rPr>
        <w:t>–8</w:t>
      </w:r>
      <w:r w:rsidR="001C5CF5" w:rsidRPr="009B0F6E">
        <w:rPr>
          <w:rFonts w:ascii="Calibri" w:hAnsi="Calibri" w:cs="Calibri"/>
          <w:sz w:val="22"/>
          <w:szCs w:val="22"/>
          <w:vertAlign w:val="superscript"/>
        </w:rPr>
        <w:t>0</w:t>
      </w:r>
      <w:r w:rsidRPr="009B0F6E">
        <w:rPr>
          <w:rFonts w:ascii="Calibri" w:hAnsi="Calibri" w:cs="Calibri"/>
          <w:sz w:val="22"/>
          <w:szCs w:val="22"/>
        </w:rPr>
        <w:t xml:space="preserve"> </w:t>
      </w:r>
      <w:r w:rsidRPr="009B0F6E">
        <w:rPr>
          <w:rFonts w:ascii="Calibri" w:hAnsi="Calibri" w:cs="Calibri"/>
          <w:color w:val="333333"/>
          <w:sz w:val="22"/>
          <w:szCs w:val="22"/>
        </w:rPr>
        <w:t>The clinical relevance of the DRT has been challenged by the paucity of available data. The presence of device-related thrombus has been linked to an approximately fourfold increase in the risk of ischemic stroke or systemic embolism.</w:t>
      </w:r>
      <w:r w:rsidRPr="009B0F6E">
        <w:rPr>
          <w:rFonts w:ascii="Calibri" w:hAnsi="Calibri" w:cs="Calibri"/>
          <w:sz w:val="22"/>
          <w:szCs w:val="22"/>
          <w:vertAlign w:val="superscript"/>
        </w:rPr>
        <w:t>2</w:t>
      </w:r>
      <w:r w:rsidR="001C5CF5" w:rsidRPr="009B0F6E">
        <w:rPr>
          <w:rFonts w:ascii="Calibri" w:hAnsi="Calibri" w:cs="Calibri"/>
          <w:sz w:val="22"/>
          <w:szCs w:val="22"/>
          <w:vertAlign w:val="superscript"/>
        </w:rPr>
        <w:t>1</w:t>
      </w:r>
      <w:r w:rsidRPr="009B0F6E">
        <w:rPr>
          <w:rFonts w:ascii="Calibri" w:hAnsi="Calibri" w:cs="Calibri"/>
          <w:color w:val="333333"/>
          <w:sz w:val="22"/>
          <w:szCs w:val="22"/>
        </w:rPr>
        <w:t xml:space="preserve"> In a French registry, DRT occurred in 7.2% of patients and emerged as an independent predictor of ischemic stroke or TIA during follow-up.</w:t>
      </w:r>
      <w:r w:rsidR="001C5CF5" w:rsidRPr="009B0F6E">
        <w:rPr>
          <w:rFonts w:ascii="Calibri" w:hAnsi="Calibri" w:cs="Calibri"/>
          <w:sz w:val="22"/>
          <w:szCs w:val="22"/>
          <w:vertAlign w:val="superscript"/>
        </w:rPr>
        <w:t>73</w:t>
      </w:r>
      <w:r w:rsidRPr="009B0F6E">
        <w:rPr>
          <w:rFonts w:ascii="Calibri" w:hAnsi="Calibri" w:cs="Calibri"/>
          <w:color w:val="333333"/>
          <w:sz w:val="22"/>
          <w:szCs w:val="22"/>
        </w:rPr>
        <w:t xml:space="preserve"> </w:t>
      </w:r>
      <w:r w:rsidRPr="009B0F6E">
        <w:rPr>
          <w:rFonts w:ascii="Calibri" w:hAnsi="Calibri" w:cs="Calibri"/>
          <w:sz w:val="22"/>
          <w:szCs w:val="22"/>
        </w:rPr>
        <w:t>It is noteworthy that the impact of DRT on clinical outcomes depends on its characteristics, including size and morphology, as well as the type of antithrombotic therapy after LAAC. However, these features are not always systematically reported, and it is therefore reasonable to assume that not all DRTs carry the same embolic risk. Moreover, despite TEE is considered the gold standard methodology for DRT diagnosis, CCTA is emerging as a valuable complementary imaging tool, as its superior spatial resolution allows a more accurate reconstruction of DRT morphology and may help differentiate thrombi with higher versus lower embolic potential</w:t>
      </w:r>
      <w:proofErr w:type="gramStart"/>
      <w:r w:rsidRPr="009B0F6E">
        <w:rPr>
          <w:rFonts w:ascii="Calibri" w:hAnsi="Calibri" w:cs="Calibri"/>
          <w:sz w:val="22"/>
          <w:szCs w:val="22"/>
        </w:rPr>
        <w:t>;</w:t>
      </w:r>
      <w:r w:rsidRPr="009B0F6E">
        <w:rPr>
          <w:rFonts w:ascii="Calibri" w:hAnsi="Calibri" w:cs="Calibri"/>
          <w:sz w:val="22"/>
          <w:szCs w:val="22"/>
          <w:vertAlign w:val="superscript"/>
        </w:rPr>
        <w:t>8</w:t>
      </w:r>
      <w:r w:rsidR="001C5CF5" w:rsidRPr="009B0F6E">
        <w:rPr>
          <w:rFonts w:ascii="Calibri" w:hAnsi="Calibri" w:cs="Calibri"/>
          <w:sz w:val="22"/>
          <w:szCs w:val="22"/>
          <w:vertAlign w:val="superscript"/>
        </w:rPr>
        <w:t>1</w:t>
      </w:r>
      <w:proofErr w:type="gramEnd"/>
      <w:r w:rsidRPr="009B0F6E">
        <w:rPr>
          <w:rFonts w:ascii="Calibri" w:hAnsi="Calibri" w:cs="Calibri"/>
          <w:sz w:val="22"/>
          <w:szCs w:val="22"/>
        </w:rPr>
        <w:t xml:space="preserve"> this could, in the future, allow a more refined characterization of DRT and is likely to inform risk stratification and, consequently, the management of these patients. In addition, antithrombotic therapy is usually initiated or intensified at the time DRT is detected, making it difficult to clarify whether the subsequent low rate of ischemic events is driven by the natural history of DRT or by the therapeutic intervention. The most widely used management approach consists of initiating warfarin for 8–12 weeks, targeting an INR of 2.0–3.0 in patients who were not on OAC at the time DRT was detected. In those already treated with warfarin, increasing the INR target to 2.5–3.5 is advised, and low-dose aspirin can be added in patients with an acceptable bleeding risk.</w:t>
      </w:r>
    </w:p>
    <w:p w14:paraId="5279D0EC" w14:textId="77777777" w:rsidR="00DC4445" w:rsidRPr="009B0F6E" w:rsidRDefault="00DC4445" w:rsidP="003A7AD9">
      <w:pPr>
        <w:widowControl w:val="0"/>
        <w:jc w:val="both"/>
        <w:rPr>
          <w:rFonts w:ascii="Calibri" w:hAnsi="Calibri" w:cs="Calibri"/>
          <w:sz w:val="22"/>
          <w:szCs w:val="22"/>
        </w:rPr>
      </w:pPr>
    </w:p>
    <w:p w14:paraId="304836BC" w14:textId="3336B959"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As an alternative, a full-dose DOAC regimen for 8–12 weeks, with or without concomitant low-dose aspirin, may be employed; in this setting, most of the available experience relates to apixaban and rivaroxaban, whereas dabigatran has been suggested to be less effective in the setting of thrombus formation on foreign material. In cases of particularly large (&gt;15 mm) and mobile thrombi, the perceived embolic risk may justify the use of LMWH and earlier repeat imaging (e.g., at 2 weeks) to promptly assess treatment efficacy.</w:t>
      </w:r>
      <w:r w:rsidRPr="009B0F6E">
        <w:rPr>
          <w:rFonts w:ascii="Calibri" w:hAnsi="Calibri" w:cs="Calibri"/>
          <w:sz w:val="22"/>
          <w:szCs w:val="22"/>
          <w:vertAlign w:val="superscript"/>
        </w:rPr>
        <w:t>8</w:t>
      </w:r>
      <w:r w:rsidR="001C5CF5" w:rsidRPr="009B0F6E">
        <w:rPr>
          <w:rFonts w:ascii="Calibri" w:hAnsi="Calibri" w:cs="Calibri"/>
          <w:sz w:val="22"/>
          <w:szCs w:val="22"/>
          <w:vertAlign w:val="superscript"/>
        </w:rPr>
        <w:t>2</w:t>
      </w:r>
      <w:r w:rsidRPr="009B0F6E">
        <w:rPr>
          <w:rFonts w:ascii="Calibri" w:hAnsi="Calibri" w:cs="Calibri"/>
          <w:sz w:val="22"/>
          <w:szCs w:val="22"/>
        </w:rPr>
        <w:t xml:space="preserve"> If DRT persists despite optimized antithrombotic therapy and there is concern about high embolic risk or recurrent ischemic events, surgical extraction of the device and associated thrombus may be considered in carefully selected patients. More recently, at our institution percutaneous removal of DRT from Watchman devices using dedicated thrombaspiration systems has been achieved, thus offering a possible interventional alternative in this complex clinical scenario. However, the efficacy and safety of this strategy need to be confirmed in larger, prospective cohorts, and our experience should therefore be regarded as preliminary, exploratory proof-of-concept.</w:t>
      </w:r>
    </w:p>
    <w:p w14:paraId="2650E1E0" w14:textId="77777777" w:rsidR="00DC4445" w:rsidRPr="009B0F6E" w:rsidRDefault="00DC4445" w:rsidP="003A7AD9">
      <w:pPr>
        <w:widowControl w:val="0"/>
        <w:jc w:val="both"/>
        <w:rPr>
          <w:rFonts w:ascii="Calibri" w:hAnsi="Calibri" w:cs="Calibri"/>
          <w:sz w:val="22"/>
          <w:szCs w:val="22"/>
        </w:rPr>
      </w:pPr>
    </w:p>
    <w:p w14:paraId="304836BD" w14:textId="797B945B"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Peri-device leak (PDL) is defined as any residual communication between the left atrial appendage (LAA) and the left atrium following left atrial appendage closure (LAAC). The reported incidence of PDL varies widely across studies, ranging from 10% to 54%.</w:t>
      </w:r>
      <w:r w:rsidRPr="009B0F6E">
        <w:rPr>
          <w:rFonts w:ascii="Calibri" w:hAnsi="Calibri" w:cs="Calibri"/>
          <w:sz w:val="22"/>
          <w:szCs w:val="22"/>
          <w:vertAlign w:val="superscript"/>
        </w:rPr>
        <w:t>2</w:t>
      </w:r>
      <w:r w:rsidR="001C5CF5" w:rsidRPr="009B0F6E">
        <w:rPr>
          <w:rFonts w:ascii="Calibri" w:hAnsi="Calibri" w:cs="Calibri"/>
          <w:sz w:val="22"/>
          <w:szCs w:val="22"/>
          <w:vertAlign w:val="superscript"/>
        </w:rPr>
        <w:t>7</w:t>
      </w:r>
      <w:proofErr w:type="gramStart"/>
      <w:r w:rsidRPr="009B0F6E">
        <w:rPr>
          <w:rFonts w:ascii="Calibri" w:hAnsi="Calibri" w:cs="Calibri"/>
          <w:sz w:val="22"/>
          <w:szCs w:val="22"/>
          <w:vertAlign w:val="superscript"/>
        </w:rPr>
        <w:t>,4</w:t>
      </w:r>
      <w:r w:rsidR="001C5CF5" w:rsidRPr="009B0F6E">
        <w:rPr>
          <w:rFonts w:ascii="Calibri" w:hAnsi="Calibri" w:cs="Calibri"/>
          <w:sz w:val="22"/>
          <w:szCs w:val="22"/>
          <w:vertAlign w:val="superscript"/>
        </w:rPr>
        <w:t>7</w:t>
      </w:r>
      <w:proofErr w:type="gramEnd"/>
    </w:p>
    <w:p w14:paraId="07F616AF" w14:textId="77777777" w:rsidR="00DC4445" w:rsidRPr="009B0F6E" w:rsidRDefault="00DC4445" w:rsidP="003A7AD9">
      <w:pPr>
        <w:widowControl w:val="0"/>
        <w:jc w:val="both"/>
        <w:rPr>
          <w:rFonts w:ascii="Calibri" w:hAnsi="Calibri" w:cs="Calibri"/>
          <w:sz w:val="22"/>
          <w:szCs w:val="22"/>
        </w:rPr>
      </w:pPr>
    </w:p>
    <w:p w14:paraId="304836BE" w14:textId="39FE2E85"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Several factors may explain these discrepancies, including the dimensional criteria used to define PDL (&lt;3 mm, ≥3 mm, &lt;5 mm, ≥5 mm), the type of follow-up imaging modality, and the timing of surveillance.</w:t>
      </w:r>
      <w:r w:rsidRPr="009B0F6E">
        <w:rPr>
          <w:rFonts w:ascii="Calibri" w:hAnsi="Calibri" w:cs="Calibri"/>
          <w:sz w:val="22"/>
          <w:szCs w:val="22"/>
          <w:vertAlign w:val="superscript"/>
        </w:rPr>
        <w:t>3</w:t>
      </w:r>
      <w:r w:rsidR="001C5CF5" w:rsidRPr="009B0F6E">
        <w:rPr>
          <w:rFonts w:ascii="Calibri" w:hAnsi="Calibri" w:cs="Calibri"/>
          <w:sz w:val="22"/>
          <w:szCs w:val="22"/>
          <w:vertAlign w:val="superscript"/>
        </w:rPr>
        <w:t>1</w:t>
      </w:r>
      <w:proofErr w:type="gramStart"/>
      <w:r w:rsidRPr="009B0F6E">
        <w:rPr>
          <w:rFonts w:ascii="Calibri" w:hAnsi="Calibri" w:cs="Calibri"/>
          <w:sz w:val="22"/>
          <w:szCs w:val="22"/>
          <w:vertAlign w:val="superscript"/>
        </w:rPr>
        <w:t>,8</w:t>
      </w:r>
      <w:r w:rsidR="001C5CF5" w:rsidRPr="009B0F6E">
        <w:rPr>
          <w:rFonts w:ascii="Calibri" w:hAnsi="Calibri" w:cs="Calibri"/>
          <w:sz w:val="22"/>
          <w:szCs w:val="22"/>
          <w:vertAlign w:val="superscript"/>
        </w:rPr>
        <w:t>3</w:t>
      </w:r>
      <w:proofErr w:type="gramEnd"/>
      <w:r w:rsidRPr="009B0F6E">
        <w:rPr>
          <w:rFonts w:ascii="Calibri" w:hAnsi="Calibri" w:cs="Calibri"/>
          <w:sz w:val="22"/>
          <w:szCs w:val="22"/>
        </w:rPr>
        <w:t xml:space="preserve"> Notably, the size thresholds adopted to define and classify PDLs often differ according to the imaging system employed. In particular, several studies suggest that cardiac CT may outperform TEE in PDL detection and that a temporal trend exists, with a tendency to shrink over time.</w:t>
      </w:r>
      <w:r w:rsidRPr="009B0F6E">
        <w:rPr>
          <w:rFonts w:ascii="Calibri" w:hAnsi="Calibri" w:cs="Calibri"/>
          <w:sz w:val="22"/>
          <w:szCs w:val="22"/>
          <w:vertAlign w:val="superscript"/>
        </w:rPr>
        <w:t>3</w:t>
      </w:r>
      <w:r w:rsidR="00E152B1" w:rsidRPr="009B0F6E">
        <w:rPr>
          <w:rFonts w:ascii="Calibri" w:hAnsi="Calibri" w:cs="Calibri"/>
          <w:sz w:val="22"/>
          <w:szCs w:val="22"/>
          <w:vertAlign w:val="superscript"/>
        </w:rPr>
        <w:t>1</w:t>
      </w:r>
      <w:proofErr w:type="gramStart"/>
      <w:r w:rsidRPr="009B0F6E">
        <w:rPr>
          <w:rFonts w:ascii="Calibri" w:hAnsi="Calibri" w:cs="Calibri"/>
          <w:sz w:val="22"/>
          <w:szCs w:val="22"/>
          <w:vertAlign w:val="superscript"/>
        </w:rPr>
        <w:t>,8</w:t>
      </w:r>
      <w:r w:rsidR="00E152B1" w:rsidRPr="009B0F6E">
        <w:rPr>
          <w:rFonts w:ascii="Calibri" w:hAnsi="Calibri" w:cs="Calibri"/>
          <w:sz w:val="22"/>
          <w:szCs w:val="22"/>
          <w:vertAlign w:val="superscript"/>
        </w:rPr>
        <w:t>4</w:t>
      </w:r>
      <w:proofErr w:type="gramEnd"/>
      <w:r w:rsidRPr="009B0F6E">
        <w:rPr>
          <w:rFonts w:ascii="Calibri" w:hAnsi="Calibri" w:cs="Calibri"/>
          <w:sz w:val="22"/>
          <w:szCs w:val="22"/>
        </w:rPr>
        <w:t xml:space="preserve"> This may account for some of the differences reported, as there is still no consensus on the preferred imaging modality or the optimal timing for follow-up. Most centers tend to favor follow-up imaging scheduled before any change in antithrombotic therapy, to decide whether to proceed with de-escalation or to continue the current regimen. Additionally, it must be noted that the technological evolution of LAAC devices and implantation techniques is likely to have influenced contemporary PDL rates.</w:t>
      </w:r>
      <w:r w:rsidRPr="009B0F6E">
        <w:rPr>
          <w:rFonts w:ascii="Calibri" w:hAnsi="Calibri" w:cs="Calibri"/>
          <w:sz w:val="22"/>
          <w:szCs w:val="22"/>
          <w:vertAlign w:val="superscript"/>
        </w:rPr>
        <w:t>2</w:t>
      </w:r>
      <w:r w:rsidR="00E152B1" w:rsidRPr="009B0F6E">
        <w:rPr>
          <w:rFonts w:ascii="Calibri" w:hAnsi="Calibri" w:cs="Calibri"/>
          <w:sz w:val="22"/>
          <w:szCs w:val="22"/>
          <w:vertAlign w:val="superscript"/>
        </w:rPr>
        <w:t>7</w:t>
      </w:r>
      <w:proofErr w:type="gramStart"/>
      <w:r w:rsidRPr="009B0F6E">
        <w:rPr>
          <w:rFonts w:ascii="Calibri" w:hAnsi="Calibri" w:cs="Calibri"/>
          <w:sz w:val="22"/>
          <w:szCs w:val="22"/>
          <w:vertAlign w:val="superscript"/>
        </w:rPr>
        <w:t>,4</w:t>
      </w:r>
      <w:r w:rsidR="00634277" w:rsidRPr="009B0F6E">
        <w:rPr>
          <w:rFonts w:ascii="Calibri" w:hAnsi="Calibri" w:cs="Calibri"/>
          <w:sz w:val="22"/>
          <w:szCs w:val="22"/>
          <w:vertAlign w:val="superscript"/>
        </w:rPr>
        <w:t>7</w:t>
      </w:r>
      <w:proofErr w:type="gramEnd"/>
      <w:r w:rsidR="00B01F9D" w:rsidRPr="001E0E29">
        <w:rPr>
          <w:rFonts w:ascii="Calibri" w:hAnsi="Calibri" w:cs="Calibri"/>
          <w:sz w:val="22"/>
          <w:szCs w:val="22"/>
        </w:rPr>
        <w:t xml:space="preserve"> </w:t>
      </w:r>
      <w:r w:rsidRPr="009B0F6E">
        <w:rPr>
          <w:rFonts w:ascii="Calibri" w:hAnsi="Calibri" w:cs="Calibri"/>
          <w:sz w:val="22"/>
          <w:szCs w:val="22"/>
        </w:rPr>
        <w:t>To date, several limitations arise when considering the residual thromboembolic risk of patients who have undergone LAAC and harbor a PDL. First, most studies do not report the underlying mechanism of the PDL (e.g. peri-device gap, incomplete ostial coverage, fabric permeability) but rather evaluate it solely on the basis of its dimension. Accordingly, there is still debate about what PDL size should be considered clinically relevant, and emerging data suggest that any residual leak, regardless of its size, may not be completely benign.</w:t>
      </w:r>
    </w:p>
    <w:p w14:paraId="06D0F5EB" w14:textId="77777777" w:rsidR="00DC4445" w:rsidRPr="009B0F6E" w:rsidRDefault="00DC4445" w:rsidP="003A7AD9">
      <w:pPr>
        <w:widowControl w:val="0"/>
        <w:jc w:val="both"/>
        <w:rPr>
          <w:rFonts w:ascii="Calibri" w:hAnsi="Calibri" w:cs="Calibri"/>
          <w:sz w:val="22"/>
          <w:szCs w:val="22"/>
        </w:rPr>
      </w:pPr>
    </w:p>
    <w:p w14:paraId="304836BF" w14:textId="4517C529"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The currently used threshold stems from the definition of effective LAA exclusion adopted in the PROTECT AF and PREVAIL trials, in which LAAC was considered successful when the residual leak was &lt;3 mm (±2 mm). Moreover, at the time of PDL detection, clinicians frequently adjust the duration and/or intensity of antithrombotic therapy, which reduces the subsequent incidence of stroke or systemic embolism. Patients with large leaks often remain on long-term anticoagulation or undergo PDL closure, and therefore the assessment of the “natural” impact of residual leak in this subgroup is heavily confounded by treatment bias. Because of these limitations, most published studies on the clinical impact of PDL have been underpowered and/or inconclusive. Three complementary studies have shown that even small peri-device leaks after LAAC are not clinically benign. In a large U.S. registry small residual leaks &lt;5 mm were present in about one-quarter of patients and were associated with modestly increased risks of thromboembolic events, major bleeding, and major adverse events.</w:t>
      </w:r>
      <w:r w:rsidR="00634277" w:rsidRPr="009B0F6E">
        <w:rPr>
          <w:rFonts w:ascii="Calibri" w:hAnsi="Calibri" w:cs="Calibri"/>
          <w:sz w:val="22"/>
          <w:szCs w:val="22"/>
          <w:vertAlign w:val="superscript"/>
        </w:rPr>
        <w:t>21</w:t>
      </w:r>
      <w:r w:rsidRPr="009B0F6E">
        <w:rPr>
          <w:rFonts w:ascii="Calibri" w:hAnsi="Calibri" w:cs="Calibri"/>
          <w:sz w:val="22"/>
          <w:szCs w:val="22"/>
        </w:rPr>
        <w:t xml:space="preserve"> In the pooled 5-year PROTECT AF/PREVAIL cohorts, small leaks persisting at 1 year nearly doubled the rate of stroke or systemic embolization, mainly due to an excess of non-disabling stroke.</w:t>
      </w:r>
      <w:r w:rsidR="00634277" w:rsidRPr="009B0F6E">
        <w:rPr>
          <w:rFonts w:ascii="Calibri" w:hAnsi="Calibri" w:cs="Calibri"/>
          <w:sz w:val="22"/>
          <w:szCs w:val="22"/>
          <w:vertAlign w:val="superscript"/>
        </w:rPr>
        <w:t>19</w:t>
      </w:r>
      <w:r w:rsidRPr="009B0F6E">
        <w:rPr>
          <w:rFonts w:ascii="Calibri" w:hAnsi="Calibri" w:cs="Calibri"/>
          <w:sz w:val="22"/>
          <w:szCs w:val="22"/>
        </w:rPr>
        <w:t xml:space="preserve"> Consistently, in the Amulet IDE trial, PDL ≥3 mm at 45 days independently correlated with a higher incidence of ischemic stroke, systemic embolization, or cardiovascular death.</w:t>
      </w:r>
      <w:r w:rsidR="00634277" w:rsidRPr="009B0F6E">
        <w:rPr>
          <w:rFonts w:ascii="Calibri" w:hAnsi="Calibri" w:cs="Calibri"/>
          <w:sz w:val="22"/>
          <w:szCs w:val="22"/>
          <w:vertAlign w:val="superscript"/>
        </w:rPr>
        <w:t>85</w:t>
      </w:r>
      <w:r w:rsidRPr="009B0F6E">
        <w:rPr>
          <w:rFonts w:ascii="Calibri" w:hAnsi="Calibri" w:cs="Calibri"/>
          <w:sz w:val="22"/>
          <w:szCs w:val="22"/>
        </w:rPr>
        <w:t xml:space="preserve"> Collectively, these data support a graded, unfavorable prognostic impact of even small PDLs after LAAC. The management of PDL depends on center expertise, the likelihood of temporal regression, related to leak size, and the tolerability of oral anticoagulation (OAC).</w:t>
      </w:r>
    </w:p>
    <w:p w14:paraId="1976F0A5" w14:textId="77777777" w:rsidR="00DC4445" w:rsidRPr="009B0F6E" w:rsidRDefault="00DC4445" w:rsidP="003A7AD9">
      <w:pPr>
        <w:widowControl w:val="0"/>
        <w:jc w:val="both"/>
        <w:rPr>
          <w:rFonts w:ascii="Calibri" w:hAnsi="Calibri" w:cs="Calibri"/>
          <w:sz w:val="22"/>
          <w:szCs w:val="22"/>
        </w:rPr>
      </w:pPr>
    </w:p>
    <w:p w14:paraId="02FAAD3B" w14:textId="3534ECB0" w:rsidR="00DC4445" w:rsidRPr="001E0E29" w:rsidRDefault="00C1376C" w:rsidP="003A7AD9">
      <w:pPr>
        <w:widowControl w:val="0"/>
        <w:jc w:val="both"/>
        <w:rPr>
          <w:rFonts w:ascii="Calibri" w:hAnsi="Calibri" w:cs="Calibri"/>
          <w:sz w:val="22"/>
          <w:szCs w:val="22"/>
        </w:rPr>
      </w:pPr>
      <w:r w:rsidRPr="009B0F6E">
        <w:rPr>
          <w:rFonts w:ascii="Calibri" w:hAnsi="Calibri" w:cs="Calibri"/>
          <w:sz w:val="22"/>
          <w:szCs w:val="22"/>
        </w:rPr>
        <w:t>In patients with an absolute contraindication to OAC, who represent the main target population for LAAC in Europe, initiating or prolonging anticoagulation may not be a viable option. In such cases, a more cautious watchful-waiting strategy, with repeat imaging surveillance, may be advisable, particularly in the presence of small PDLs.</w:t>
      </w:r>
      <w:r w:rsidR="00634277" w:rsidRPr="009B0F6E">
        <w:rPr>
          <w:rFonts w:ascii="Calibri" w:hAnsi="Calibri" w:cs="Calibri"/>
          <w:sz w:val="22"/>
          <w:szCs w:val="22"/>
          <w:vertAlign w:val="superscript"/>
        </w:rPr>
        <w:t>86</w:t>
      </w:r>
      <w:r w:rsidR="00963274" w:rsidRPr="001E0E29">
        <w:rPr>
          <w:rFonts w:ascii="Calibri" w:hAnsi="Calibri" w:cs="Calibri"/>
          <w:sz w:val="22"/>
          <w:szCs w:val="22"/>
        </w:rPr>
        <w:t xml:space="preserve"> </w:t>
      </w:r>
      <w:r w:rsidRPr="009B0F6E">
        <w:rPr>
          <w:rFonts w:ascii="Calibri" w:hAnsi="Calibri" w:cs="Calibri"/>
          <w:sz w:val="22"/>
          <w:szCs w:val="22"/>
        </w:rPr>
        <w:t>Interventional options to close larger PDLs include the use of vascular plugs and cardiac occluders, detachable coils, radiofrequency ablation, or a combination of these techniques.</w:t>
      </w:r>
      <w:r w:rsidR="00634277" w:rsidRPr="009B0F6E">
        <w:rPr>
          <w:rFonts w:ascii="Calibri" w:hAnsi="Calibri" w:cs="Calibri"/>
          <w:sz w:val="22"/>
          <w:szCs w:val="22"/>
          <w:vertAlign w:val="superscript"/>
        </w:rPr>
        <w:t>87</w:t>
      </w:r>
      <w:r w:rsidRPr="009B0F6E">
        <w:rPr>
          <w:rFonts w:ascii="Calibri" w:hAnsi="Calibri" w:cs="Calibri"/>
          <w:sz w:val="22"/>
          <w:szCs w:val="22"/>
          <w:vertAlign w:val="superscript"/>
        </w:rPr>
        <w:t>–</w:t>
      </w:r>
      <w:r w:rsidR="00634277" w:rsidRPr="009B0F6E">
        <w:rPr>
          <w:rFonts w:ascii="Calibri" w:hAnsi="Calibri" w:cs="Calibri"/>
          <w:sz w:val="22"/>
          <w:szCs w:val="22"/>
          <w:vertAlign w:val="superscript"/>
        </w:rPr>
        <w:t>8</w:t>
      </w:r>
      <w:r w:rsidRPr="009B0F6E">
        <w:rPr>
          <w:rFonts w:ascii="Calibri" w:hAnsi="Calibri" w:cs="Calibri"/>
          <w:sz w:val="22"/>
          <w:szCs w:val="22"/>
          <w:vertAlign w:val="superscript"/>
        </w:rPr>
        <w:t>9</w:t>
      </w:r>
      <w:r w:rsidRPr="009B0F6E">
        <w:rPr>
          <w:rFonts w:ascii="Calibri" w:hAnsi="Calibri" w:cs="Calibri"/>
          <w:sz w:val="22"/>
          <w:szCs w:val="22"/>
        </w:rPr>
        <w:t xml:space="preserve"> The choice of strategy is primarily driven by local experience, and no single approach has clearly emerged as superior. Nonetheless, certain PDL anatomies may favor specific techniques: narrower and shallower leaks are often more amenable to coil embolization, whereas broader neck defects or unprotected accessory lobes are typically treated with plugs or a second occlusion device.</w:t>
      </w:r>
      <w:r w:rsidR="00634277" w:rsidRPr="009B0F6E">
        <w:rPr>
          <w:rFonts w:ascii="Calibri" w:hAnsi="Calibri" w:cs="Calibri"/>
          <w:sz w:val="22"/>
          <w:szCs w:val="22"/>
          <w:vertAlign w:val="superscript"/>
        </w:rPr>
        <w:t>86</w:t>
      </w:r>
      <w:r w:rsidRPr="009B0F6E">
        <w:rPr>
          <w:rFonts w:ascii="Calibri" w:hAnsi="Calibri" w:cs="Calibri"/>
          <w:sz w:val="22"/>
          <w:szCs w:val="22"/>
        </w:rPr>
        <w:t xml:space="preserve"> Across published series, the acute procedural success of PDL closure has been consistently high, with low rates of major complications regardless of the technique employed. Despite a significant reduction in leak size in most patients, persistent flow into the LAA on follow-up imaging has been reported in 13% to 39% of cases.</w:t>
      </w:r>
      <w:r w:rsidRPr="009B0F6E">
        <w:rPr>
          <w:rFonts w:ascii="Calibri" w:hAnsi="Calibri" w:cs="Calibri"/>
          <w:sz w:val="22"/>
          <w:szCs w:val="22"/>
          <w:vertAlign w:val="superscript"/>
        </w:rPr>
        <w:t>9</w:t>
      </w:r>
      <w:r w:rsidR="00634277" w:rsidRPr="009B0F6E">
        <w:rPr>
          <w:rFonts w:ascii="Calibri" w:hAnsi="Calibri" w:cs="Calibri"/>
          <w:sz w:val="22"/>
          <w:szCs w:val="22"/>
          <w:vertAlign w:val="superscript"/>
        </w:rPr>
        <w:t>0</w:t>
      </w:r>
    </w:p>
    <w:p w14:paraId="304836C0" w14:textId="4A68ED76" w:rsidR="00DD3127" w:rsidRPr="009B0F6E" w:rsidRDefault="00DD3127" w:rsidP="003A7AD9">
      <w:pPr>
        <w:widowControl w:val="0"/>
        <w:jc w:val="both"/>
        <w:rPr>
          <w:rFonts w:ascii="Calibri" w:hAnsi="Calibri" w:cs="Calibri"/>
          <w:sz w:val="22"/>
          <w:szCs w:val="22"/>
        </w:rPr>
      </w:pPr>
    </w:p>
    <w:p w14:paraId="304836C1" w14:textId="32D074B2"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Important uncertainties remain regarding the long-term management of patients undergoing interventional PDL closure. There are no standardized protocols for post-procedural imaging surveillance or for antithrombotic therapy after PDL closure. In most studies, patients were treated with antiplatelet agents and underwent only a single follow-up imaging assessment. Although the low incidence of ischemic events reported in these cohorts supports the potential effectiveness of PDL closure, the small sample size and limited follow-up duration preclude firm conclusions. Furthermore, the impact of placing multiple devices within the LAA on the risk of device-related thrombus remains unclear and warrants dedicated investigation.</w:t>
      </w:r>
    </w:p>
    <w:p w14:paraId="304836C2" w14:textId="3550B8A9" w:rsidR="00DD3127" w:rsidRPr="009B0F6E" w:rsidRDefault="00DD3127" w:rsidP="003A7AD9">
      <w:pPr>
        <w:widowControl w:val="0"/>
        <w:rPr>
          <w:rFonts w:ascii="Calibri" w:hAnsi="Calibri" w:cs="Calibri"/>
          <w:sz w:val="22"/>
          <w:szCs w:val="22"/>
        </w:rPr>
      </w:pPr>
    </w:p>
    <w:p w14:paraId="304836C4" w14:textId="0219A5DD" w:rsidR="00DD3127" w:rsidRPr="009B0F6E" w:rsidRDefault="00C1376C" w:rsidP="003A7AD9">
      <w:pPr>
        <w:widowControl w:val="0"/>
        <w:jc w:val="both"/>
        <w:rPr>
          <w:rFonts w:ascii="Calibri" w:hAnsi="Calibri" w:cs="Calibri"/>
          <w:spacing w:val="6"/>
          <w:sz w:val="22"/>
          <w:szCs w:val="22"/>
          <w:shd w:val="clear" w:color="auto" w:fill="FFFFFF"/>
        </w:rPr>
      </w:pPr>
      <w:r w:rsidRPr="009B0F6E">
        <w:rPr>
          <w:rFonts w:ascii="Calibri" w:hAnsi="Calibri" w:cs="Calibri"/>
          <w:b/>
          <w:bCs/>
          <w:sz w:val="22"/>
          <w:szCs w:val="22"/>
        </w:rPr>
        <w:t>Emerging LAAC technologies</w:t>
      </w:r>
    </w:p>
    <w:p w14:paraId="304836C5" w14:textId="31A28742"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While current percutaneous LAAC devices such as Watchman FLX/FLX Pro and Amplatzer Amulet dominate clinical practice, several</w:t>
      </w:r>
      <w:r w:rsidR="00351D23" w:rsidRPr="009B0F6E">
        <w:rPr>
          <w:rFonts w:ascii="Calibri" w:hAnsi="Calibri" w:cs="Calibri"/>
          <w:sz w:val="22"/>
          <w:szCs w:val="22"/>
        </w:rPr>
        <w:t xml:space="preserve"> </w:t>
      </w:r>
      <w:r w:rsidRPr="009B0F6E">
        <w:rPr>
          <w:rFonts w:ascii="Calibri" w:hAnsi="Calibri" w:cs="Calibri"/>
          <w:sz w:val="22"/>
          <w:szCs w:val="22"/>
        </w:rPr>
        <w:t>next-generation technologies</w:t>
      </w:r>
      <w:r w:rsidR="00351D23" w:rsidRPr="009B0F6E">
        <w:rPr>
          <w:rFonts w:ascii="Calibri" w:hAnsi="Calibri" w:cs="Calibri"/>
          <w:sz w:val="22"/>
          <w:szCs w:val="22"/>
        </w:rPr>
        <w:t xml:space="preserve"> </w:t>
      </w:r>
      <w:r w:rsidRPr="009B0F6E">
        <w:rPr>
          <w:rFonts w:ascii="Calibri" w:hAnsi="Calibri" w:cs="Calibri"/>
          <w:sz w:val="22"/>
          <w:szCs w:val="22"/>
        </w:rPr>
        <w:t>are in development or early clinical use. These systems have been designed with the aim of improving anatomical adaptability, procedural safety, and long-term outcomes, particularly in complex anatomies or in patients at very high bleeding risk. Most of these devices remain investigational, with FDA approval under evaluation, and available human data are limited in size and follow-up. Their ultimate role will depend on procedural feasibility (including the learning curve), imaging requirements and follow-up, and the definition of safe and effective post-procedural antithrombotic regimens.</w:t>
      </w:r>
    </w:p>
    <w:p w14:paraId="74C903E2" w14:textId="77777777" w:rsidR="00034C89" w:rsidRPr="009B0F6E" w:rsidRDefault="00034C89" w:rsidP="003A7AD9">
      <w:pPr>
        <w:widowControl w:val="0"/>
        <w:jc w:val="both"/>
        <w:rPr>
          <w:rFonts w:ascii="Calibri" w:hAnsi="Calibri" w:cs="Calibri"/>
          <w:sz w:val="22"/>
          <w:szCs w:val="22"/>
        </w:rPr>
      </w:pPr>
    </w:p>
    <w:p w14:paraId="304836C6" w14:textId="2FA68D68" w:rsidR="00DD3127" w:rsidRPr="001E0E29" w:rsidRDefault="00C1376C" w:rsidP="003A7AD9">
      <w:pPr>
        <w:widowControl w:val="0"/>
        <w:jc w:val="both"/>
        <w:rPr>
          <w:rFonts w:ascii="Calibri" w:hAnsi="Calibri" w:cs="Calibri"/>
          <w:bCs/>
          <w:i/>
          <w:sz w:val="22"/>
          <w:szCs w:val="22"/>
        </w:rPr>
      </w:pPr>
      <w:r w:rsidRPr="001E0E29">
        <w:rPr>
          <w:rFonts w:ascii="Calibri" w:hAnsi="Calibri" w:cs="Calibri"/>
          <w:bCs/>
          <w:i/>
          <w:sz w:val="22"/>
          <w:szCs w:val="22"/>
        </w:rPr>
        <w:t>Append implant-free LAAC system (Append Medical)</w:t>
      </w:r>
    </w:p>
    <w:p w14:paraId="304836C7" w14:textId="0F1BA524"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Append Medical is a medical device company developing an investigational implant-free solution to close the LAA. After transeptal access into the left atrium, the tissue grabber is advanced into the LAA and captures the LAA tissue using vacuum suction. The grabber then pulls and invaginates the LAA into a ligation device positioned at the LAA ostium. This device releases and tightens the suture around the invaginated LAA tissue, with the aim of achieving a mechanical seal. The sealing mechanism is intended to ensure tissue-to-tissue apposition, promoting natural healing and potentially permanent closure over time. Once the suture is secured, a suture cutter is inserted over the suture to trim the excess material above the knot. The entire system is then retrieved, leaving no implant or foreign material in the body. This</w:t>
      </w:r>
      <w:r w:rsidR="00351D23" w:rsidRPr="009B0F6E">
        <w:rPr>
          <w:rFonts w:ascii="Calibri" w:hAnsi="Calibri" w:cs="Calibri"/>
          <w:sz w:val="22"/>
          <w:szCs w:val="22"/>
        </w:rPr>
        <w:t xml:space="preserve"> </w:t>
      </w:r>
      <w:r w:rsidRPr="009B0F6E">
        <w:rPr>
          <w:rFonts w:ascii="Calibri" w:hAnsi="Calibri" w:cs="Calibri"/>
          <w:sz w:val="22"/>
          <w:szCs w:val="22"/>
        </w:rPr>
        <w:t>approach may offer potential advantages, including</w:t>
      </w:r>
      <w:r w:rsidR="00351D23" w:rsidRPr="009B0F6E">
        <w:rPr>
          <w:rFonts w:ascii="Calibri" w:hAnsi="Calibri" w:cs="Calibri"/>
          <w:sz w:val="22"/>
          <w:szCs w:val="22"/>
        </w:rPr>
        <w:t xml:space="preserve"> </w:t>
      </w:r>
      <w:r w:rsidRPr="009B0F6E">
        <w:rPr>
          <w:rFonts w:ascii="Calibri" w:hAnsi="Calibri" w:cs="Calibri"/>
          <w:sz w:val="22"/>
          <w:szCs w:val="22"/>
        </w:rPr>
        <w:t>the possibility of</w:t>
      </w:r>
      <w:r w:rsidR="00351D23" w:rsidRPr="009B0F6E">
        <w:rPr>
          <w:rFonts w:ascii="Calibri" w:hAnsi="Calibri" w:cs="Calibri"/>
          <w:sz w:val="22"/>
          <w:szCs w:val="22"/>
        </w:rPr>
        <w:t xml:space="preserve"> </w:t>
      </w:r>
      <w:r w:rsidRPr="009B0F6E">
        <w:rPr>
          <w:rFonts w:ascii="Calibri" w:hAnsi="Calibri" w:cs="Calibri"/>
          <w:sz w:val="22"/>
          <w:szCs w:val="22"/>
        </w:rPr>
        <w:t>LAA elimination with no device left in the heart and a</w:t>
      </w:r>
      <w:r w:rsidR="00351D23" w:rsidRPr="009B0F6E">
        <w:rPr>
          <w:rFonts w:ascii="Calibri" w:hAnsi="Calibri" w:cs="Calibri"/>
          <w:sz w:val="22"/>
          <w:szCs w:val="22"/>
        </w:rPr>
        <w:t xml:space="preserve"> </w:t>
      </w:r>
      <w:r w:rsidRPr="009B0F6E">
        <w:rPr>
          <w:rFonts w:ascii="Calibri" w:hAnsi="Calibri" w:cs="Calibri"/>
          <w:sz w:val="22"/>
          <w:szCs w:val="22"/>
        </w:rPr>
        <w:t>theoretically broad</w:t>
      </w:r>
      <w:r w:rsidR="00351D23" w:rsidRPr="009B0F6E">
        <w:rPr>
          <w:rFonts w:ascii="Calibri" w:hAnsi="Calibri" w:cs="Calibri"/>
          <w:sz w:val="22"/>
          <w:szCs w:val="22"/>
        </w:rPr>
        <w:t xml:space="preserve"> </w:t>
      </w:r>
      <w:r w:rsidRPr="009B0F6E">
        <w:rPr>
          <w:rFonts w:ascii="Calibri" w:hAnsi="Calibri" w:cs="Calibri"/>
          <w:sz w:val="22"/>
          <w:szCs w:val="22"/>
        </w:rPr>
        <w:t>applicability to a wide range of different anatomies. The procedure can be performed as a standalone treatment or in conjunction with AF ablation, and it can be guided using intracardiac echocardiography imaging potentially providing flexibility and adaptability across different clinical scenarios. Currently, the Append closure device is not yet FDA approved, and no human clinical studies have been publicly reported. Consequently, its procedural learning curve, optimal imaging and follow-up strategy, and post-procedural antithrombotic regimen, as well as its long-term safety and efficacy profile (including PDL, DRT and bleeding risk), remain to be defined.</w:t>
      </w:r>
    </w:p>
    <w:p w14:paraId="5EA6E2CC" w14:textId="77777777" w:rsidR="00034C89" w:rsidRPr="009B0F6E" w:rsidRDefault="00034C89" w:rsidP="003A7AD9">
      <w:pPr>
        <w:widowControl w:val="0"/>
        <w:jc w:val="both"/>
        <w:rPr>
          <w:rFonts w:ascii="Calibri" w:hAnsi="Calibri" w:cs="Calibri"/>
          <w:sz w:val="22"/>
          <w:szCs w:val="22"/>
        </w:rPr>
      </w:pPr>
    </w:p>
    <w:p w14:paraId="304836C8" w14:textId="77777777" w:rsidR="00DD3127" w:rsidRPr="001E0E29" w:rsidRDefault="00C1376C" w:rsidP="003A7AD9">
      <w:pPr>
        <w:widowControl w:val="0"/>
        <w:jc w:val="both"/>
        <w:rPr>
          <w:rFonts w:ascii="Calibri" w:hAnsi="Calibri" w:cs="Calibri"/>
          <w:i/>
          <w:spacing w:val="-1"/>
          <w:sz w:val="22"/>
          <w:szCs w:val="22"/>
          <w:shd w:val="clear" w:color="auto" w:fill="FFFFFF"/>
        </w:rPr>
      </w:pPr>
      <w:r w:rsidRPr="001E0E29">
        <w:rPr>
          <w:rFonts w:ascii="Calibri" w:hAnsi="Calibri" w:cs="Calibri"/>
          <w:bCs/>
          <w:i/>
          <w:sz w:val="22"/>
          <w:szCs w:val="22"/>
        </w:rPr>
        <w:t>Conformal LAA Seal (Conformal Medical)</w:t>
      </w:r>
    </w:p>
    <w:p w14:paraId="304836C9" w14:textId="2E39EECE"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The Conformal Left Atrial Appendage Seal (CLAAS) represents a novel concept in LAAC, a departure from traditional plug or lobe-disc designs.</w:t>
      </w:r>
      <w:r w:rsidRPr="009B0F6E">
        <w:rPr>
          <w:rFonts w:ascii="Calibri" w:hAnsi="Calibri" w:cs="Calibri"/>
          <w:sz w:val="22"/>
          <w:szCs w:val="22"/>
          <w:vertAlign w:val="superscript"/>
        </w:rPr>
        <w:t>9</w:t>
      </w:r>
      <w:r w:rsidR="00634277" w:rsidRPr="009B0F6E">
        <w:rPr>
          <w:rFonts w:ascii="Calibri" w:hAnsi="Calibri" w:cs="Calibri"/>
          <w:sz w:val="22"/>
          <w:szCs w:val="22"/>
          <w:vertAlign w:val="superscript"/>
        </w:rPr>
        <w:t>1</w:t>
      </w:r>
      <w:r w:rsidRPr="009B0F6E">
        <w:rPr>
          <w:rFonts w:ascii="Calibri" w:hAnsi="Calibri" w:cs="Calibri"/>
          <w:sz w:val="22"/>
          <w:szCs w:val="22"/>
        </w:rPr>
        <w:t xml:space="preserve"> </w:t>
      </w:r>
      <w:proofErr w:type="gramStart"/>
      <w:r w:rsidRPr="009B0F6E">
        <w:rPr>
          <w:rFonts w:ascii="Calibri" w:hAnsi="Calibri" w:cs="Calibri"/>
          <w:sz w:val="22"/>
          <w:szCs w:val="22"/>
        </w:rPr>
        <w:t>It</w:t>
      </w:r>
      <w:proofErr w:type="gramEnd"/>
      <w:r w:rsidRPr="009B0F6E">
        <w:rPr>
          <w:rFonts w:ascii="Calibri" w:hAnsi="Calibri" w:cs="Calibri"/>
          <w:sz w:val="22"/>
          <w:szCs w:val="22"/>
        </w:rPr>
        <w:t xml:space="preserve"> features a self-expanding, spherical nitinol endoskeleton enveloped by a porous polyurethane-carbonate foam cup, designed to conform to the LAA ostium and accommodate a wide range of anatomies, including shallow or irregular LAA morphologies. The device anchors at the ostial level rather than within the distal LAA, potentially simplifying implantation and reducing complications such as perforation or embolization. A 360-degree polyethylene terephthalate (PET) covered surface is designed to enhance endothelialization and minimize PDLs, while a PTFE membrane on the proximal surface provides a low thrombogenic atrial interface. The implant is available in two sizes (27 mm and 35 mm), is fully recapturable prior to release, and includes two rows of anchor barbs at the mid-portion of the frame to ensure stable fixation. Preclinical and initial human results suggest</w:t>
      </w:r>
      <w:r w:rsidR="00351D23" w:rsidRPr="009B0F6E">
        <w:rPr>
          <w:rFonts w:ascii="Calibri" w:hAnsi="Calibri" w:cs="Calibri"/>
          <w:sz w:val="22"/>
          <w:szCs w:val="22"/>
        </w:rPr>
        <w:t xml:space="preserve"> </w:t>
      </w:r>
      <w:r w:rsidRPr="009B0F6E">
        <w:rPr>
          <w:rFonts w:ascii="Calibri" w:hAnsi="Calibri" w:cs="Calibri"/>
          <w:sz w:val="22"/>
          <w:szCs w:val="22"/>
        </w:rPr>
        <w:t>feasible implantation with encouraging sealing and device stability, with low observed rates of DRT in the available, relatively small cohorts.</w:t>
      </w:r>
      <w:r w:rsidRPr="009B0F6E">
        <w:rPr>
          <w:rFonts w:ascii="Calibri" w:hAnsi="Calibri" w:cs="Calibri"/>
          <w:sz w:val="22"/>
          <w:szCs w:val="22"/>
          <w:vertAlign w:val="superscript"/>
        </w:rPr>
        <w:t>9</w:t>
      </w:r>
      <w:r w:rsidR="00634277" w:rsidRPr="009B0F6E">
        <w:rPr>
          <w:rFonts w:ascii="Calibri" w:hAnsi="Calibri" w:cs="Calibri"/>
          <w:sz w:val="22"/>
          <w:szCs w:val="22"/>
          <w:vertAlign w:val="superscript"/>
        </w:rPr>
        <w:t>1</w:t>
      </w:r>
      <w:proofErr w:type="gramStart"/>
      <w:r w:rsidRPr="009B0F6E">
        <w:rPr>
          <w:rFonts w:ascii="Calibri" w:hAnsi="Calibri" w:cs="Calibri"/>
          <w:sz w:val="22"/>
          <w:szCs w:val="22"/>
          <w:vertAlign w:val="superscript"/>
        </w:rPr>
        <w:t>,9</w:t>
      </w:r>
      <w:r w:rsidR="00634277" w:rsidRPr="009B0F6E">
        <w:rPr>
          <w:rFonts w:ascii="Calibri" w:hAnsi="Calibri" w:cs="Calibri"/>
          <w:sz w:val="22"/>
          <w:szCs w:val="22"/>
          <w:vertAlign w:val="superscript"/>
        </w:rPr>
        <w:t>2</w:t>
      </w:r>
      <w:proofErr w:type="gramEnd"/>
      <w:r w:rsidRPr="009B0F6E">
        <w:rPr>
          <w:rFonts w:ascii="Calibri" w:hAnsi="Calibri" w:cs="Calibri"/>
          <w:sz w:val="22"/>
          <w:szCs w:val="22"/>
        </w:rPr>
        <w:t xml:space="preserve"> However, these data are limited in sample size and follow-up duration, and the CONFORM Pivotal trial (NCT05147792) will be critical to define its comparative efficacy, safety and long-term outcomes, including PDL, DRT and bleeding events, versus Watchman and Amulet systems.</w:t>
      </w:r>
    </w:p>
    <w:p w14:paraId="435782F4" w14:textId="77777777" w:rsidR="00034C89" w:rsidRPr="009B0F6E" w:rsidRDefault="00034C89" w:rsidP="003A7AD9">
      <w:pPr>
        <w:widowControl w:val="0"/>
        <w:jc w:val="both"/>
        <w:rPr>
          <w:rFonts w:ascii="Calibri" w:hAnsi="Calibri" w:cs="Calibri"/>
          <w:color w:val="1B1B1B"/>
          <w:sz w:val="22"/>
          <w:szCs w:val="22"/>
          <w:shd w:val="clear" w:color="auto" w:fill="FFFFFF"/>
        </w:rPr>
      </w:pPr>
    </w:p>
    <w:p w14:paraId="304836CA" w14:textId="77777777" w:rsidR="00DD3127" w:rsidRPr="001E0E29" w:rsidRDefault="00C1376C" w:rsidP="003A7AD9">
      <w:pPr>
        <w:widowControl w:val="0"/>
        <w:jc w:val="both"/>
        <w:rPr>
          <w:rFonts w:ascii="Calibri" w:hAnsi="Calibri" w:cs="Calibri"/>
          <w:i/>
          <w:spacing w:val="-1"/>
          <w:sz w:val="22"/>
          <w:szCs w:val="22"/>
          <w:shd w:val="clear" w:color="auto" w:fill="FFFFFF"/>
        </w:rPr>
      </w:pPr>
      <w:r w:rsidRPr="001E0E29">
        <w:rPr>
          <w:rFonts w:ascii="Calibri" w:hAnsi="Calibri" w:cs="Calibri"/>
          <w:bCs/>
          <w:i/>
          <w:sz w:val="22"/>
          <w:szCs w:val="22"/>
        </w:rPr>
        <w:t>Laminar (Johnson &amp; Johnson MedTech)</w:t>
      </w:r>
    </w:p>
    <w:p w14:paraId="304836CB" w14:textId="18D3B6A2"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The</w:t>
      </w:r>
      <w:r w:rsidR="00351D23" w:rsidRPr="009B0F6E">
        <w:rPr>
          <w:rFonts w:ascii="Calibri" w:hAnsi="Calibri" w:cs="Calibri"/>
          <w:sz w:val="22"/>
          <w:szCs w:val="22"/>
        </w:rPr>
        <w:t xml:space="preserve"> </w:t>
      </w:r>
      <w:r w:rsidRPr="009B0F6E">
        <w:rPr>
          <w:rFonts w:ascii="Calibri" w:hAnsi="Calibri" w:cs="Calibri"/>
          <w:sz w:val="22"/>
          <w:szCs w:val="22"/>
        </w:rPr>
        <w:t>Laminar occluder</w:t>
      </w:r>
      <w:r w:rsidR="00351D23" w:rsidRPr="009B0F6E">
        <w:rPr>
          <w:rFonts w:ascii="Calibri" w:hAnsi="Calibri" w:cs="Calibri"/>
          <w:sz w:val="22"/>
          <w:szCs w:val="22"/>
        </w:rPr>
        <w:t xml:space="preserve"> </w:t>
      </w:r>
      <w:r w:rsidRPr="009B0F6E">
        <w:rPr>
          <w:rFonts w:ascii="Calibri" w:hAnsi="Calibri" w:cs="Calibri"/>
          <w:sz w:val="22"/>
          <w:szCs w:val="22"/>
        </w:rPr>
        <w:t>is a recently developed device that, unlike traditional plug-based systems, eliminates the LAA using a</w:t>
      </w:r>
      <w:r w:rsidR="00351D23" w:rsidRPr="009B0F6E">
        <w:rPr>
          <w:rFonts w:ascii="Calibri" w:hAnsi="Calibri" w:cs="Calibri"/>
          <w:sz w:val="22"/>
          <w:szCs w:val="22"/>
        </w:rPr>
        <w:t xml:space="preserve"> </w:t>
      </w:r>
      <w:r w:rsidRPr="009B0F6E">
        <w:rPr>
          <w:rFonts w:ascii="Calibri" w:hAnsi="Calibri" w:cs="Calibri"/>
          <w:sz w:val="22"/>
          <w:szCs w:val="22"/>
        </w:rPr>
        <w:t>rotational mechanical action</w:t>
      </w:r>
      <w:r w:rsidR="00351D23" w:rsidRPr="009B0F6E">
        <w:rPr>
          <w:rFonts w:ascii="Calibri" w:hAnsi="Calibri" w:cs="Calibri"/>
          <w:sz w:val="22"/>
          <w:szCs w:val="22"/>
        </w:rPr>
        <w:t xml:space="preserve"> </w:t>
      </w:r>
      <w:r w:rsidRPr="009B0F6E">
        <w:rPr>
          <w:rFonts w:ascii="Calibri" w:hAnsi="Calibri" w:cs="Calibri"/>
          <w:sz w:val="22"/>
          <w:szCs w:val="22"/>
        </w:rPr>
        <w:t xml:space="preserve">rather than simply sealing it. </w:t>
      </w:r>
      <w:r w:rsidRPr="009B0F6E">
        <w:rPr>
          <w:rFonts w:ascii="Calibri" w:hAnsi="Calibri" w:cs="Calibri"/>
          <w:color w:val="1F1F1F"/>
          <w:sz w:val="22"/>
          <w:szCs w:val="22"/>
        </w:rPr>
        <w:t>The Laminar implant features two elements: a self-expanding nitinol ball and a lock. The atraumatic ball is available in two sizes (12- and 16-mm diameter) and, when deployed, expands to a sphere with a flat distal portion that can be advanced safely into the LAA without any side hooks or barbs. The lock is flower-shaped with 6 “petals” aligned and keyed to interlock with the ball to achieve tissue compression and seal. The atrial-facing lock is 16</w:t>
      </w:r>
      <w:r w:rsidR="00351D23" w:rsidRPr="009B0F6E">
        <w:rPr>
          <w:rFonts w:ascii="Calibri" w:hAnsi="Calibri" w:cs="Calibri"/>
          <w:color w:val="1F1F1F"/>
          <w:sz w:val="22"/>
          <w:szCs w:val="22"/>
        </w:rPr>
        <w:t xml:space="preserve"> </w:t>
      </w:r>
      <w:r w:rsidRPr="009B0F6E">
        <w:rPr>
          <w:rFonts w:ascii="Calibri" w:hAnsi="Calibri" w:cs="Calibri"/>
          <w:color w:val="1F1F1F"/>
          <w:sz w:val="22"/>
          <w:szCs w:val="22"/>
        </w:rPr>
        <w:t>mm in diameter for both devices.</w:t>
      </w:r>
      <w:r w:rsidRPr="009B0F6E">
        <w:rPr>
          <w:rFonts w:ascii="Calibri" w:hAnsi="Calibri" w:cs="Calibri"/>
          <w:sz w:val="22"/>
          <w:szCs w:val="22"/>
        </w:rPr>
        <w:t xml:space="preserve"> This design is intended to isolate the LAA, while minimizing the surface area exposed to blood flow and, therefore, which may help to reduce the risk of thrombus formation and PDLs. A key feature of the device is its</w:t>
      </w:r>
      <w:r w:rsidR="00351D23" w:rsidRPr="009B0F6E">
        <w:rPr>
          <w:rFonts w:ascii="Calibri" w:hAnsi="Calibri" w:cs="Calibri"/>
          <w:sz w:val="22"/>
          <w:szCs w:val="22"/>
        </w:rPr>
        <w:t xml:space="preserve"> </w:t>
      </w:r>
      <w:r w:rsidRPr="009B0F6E">
        <w:rPr>
          <w:rFonts w:ascii="Calibri" w:hAnsi="Calibri" w:cs="Calibri"/>
          <w:sz w:val="22"/>
          <w:szCs w:val="22"/>
        </w:rPr>
        <w:t>low-profile flow-diverting mesh design, acting more as an</w:t>
      </w:r>
      <w:r w:rsidR="00351D23" w:rsidRPr="009B0F6E">
        <w:rPr>
          <w:rFonts w:ascii="Calibri" w:hAnsi="Calibri" w:cs="Calibri"/>
          <w:sz w:val="22"/>
          <w:szCs w:val="22"/>
        </w:rPr>
        <w:t xml:space="preserve"> </w:t>
      </w:r>
      <w:r w:rsidRPr="009B0F6E">
        <w:rPr>
          <w:rFonts w:ascii="Calibri" w:hAnsi="Calibri" w:cs="Calibri"/>
          <w:sz w:val="22"/>
          <w:szCs w:val="22"/>
        </w:rPr>
        <w:t>endothelialization scaffold</w:t>
      </w:r>
      <w:r w:rsidR="00351D23" w:rsidRPr="009B0F6E">
        <w:rPr>
          <w:rFonts w:ascii="Calibri" w:hAnsi="Calibri" w:cs="Calibri"/>
          <w:sz w:val="22"/>
          <w:szCs w:val="22"/>
        </w:rPr>
        <w:t xml:space="preserve"> </w:t>
      </w:r>
      <w:r w:rsidRPr="009B0F6E">
        <w:rPr>
          <w:rFonts w:ascii="Calibri" w:hAnsi="Calibri" w:cs="Calibri"/>
          <w:sz w:val="22"/>
          <w:szCs w:val="22"/>
        </w:rPr>
        <w:t>than a plug. This theoretically promotes biologic integration and potentially reduces both</w:t>
      </w:r>
      <w:r w:rsidR="00351D23" w:rsidRPr="009B0F6E">
        <w:rPr>
          <w:rFonts w:ascii="Calibri" w:hAnsi="Calibri" w:cs="Calibri"/>
          <w:sz w:val="22"/>
          <w:szCs w:val="22"/>
        </w:rPr>
        <w:t xml:space="preserve"> </w:t>
      </w:r>
      <w:r w:rsidRPr="009B0F6E">
        <w:rPr>
          <w:rFonts w:ascii="Calibri" w:hAnsi="Calibri" w:cs="Calibri"/>
          <w:sz w:val="22"/>
          <w:szCs w:val="22"/>
        </w:rPr>
        <w:t>inflammation</w:t>
      </w:r>
      <w:r w:rsidR="00351D23" w:rsidRPr="009B0F6E">
        <w:rPr>
          <w:rFonts w:ascii="Calibri" w:hAnsi="Calibri" w:cs="Calibri"/>
          <w:sz w:val="22"/>
          <w:szCs w:val="22"/>
        </w:rPr>
        <w:t xml:space="preserve"> </w:t>
      </w:r>
      <w:r w:rsidRPr="009B0F6E">
        <w:rPr>
          <w:rFonts w:ascii="Calibri" w:hAnsi="Calibri" w:cs="Calibri"/>
          <w:sz w:val="22"/>
          <w:szCs w:val="22"/>
        </w:rPr>
        <w:t>and</w:t>
      </w:r>
      <w:r w:rsidR="00351D23" w:rsidRPr="009B0F6E">
        <w:rPr>
          <w:rFonts w:ascii="Calibri" w:hAnsi="Calibri" w:cs="Calibri"/>
          <w:sz w:val="22"/>
          <w:szCs w:val="22"/>
        </w:rPr>
        <w:t xml:space="preserve"> </w:t>
      </w:r>
      <w:r w:rsidRPr="009B0F6E">
        <w:rPr>
          <w:rFonts w:ascii="Calibri" w:hAnsi="Calibri" w:cs="Calibri"/>
          <w:sz w:val="22"/>
          <w:szCs w:val="22"/>
        </w:rPr>
        <w:t>thrombogenicity. In the</w:t>
      </w:r>
      <w:r w:rsidR="00351D23" w:rsidRPr="009B0F6E">
        <w:rPr>
          <w:rFonts w:ascii="Calibri" w:hAnsi="Calibri" w:cs="Calibri"/>
          <w:sz w:val="22"/>
          <w:szCs w:val="22"/>
        </w:rPr>
        <w:t xml:space="preserve"> </w:t>
      </w:r>
      <w:r w:rsidRPr="009B0F6E">
        <w:rPr>
          <w:rFonts w:ascii="Calibri" w:hAnsi="Calibri" w:cs="Calibri"/>
          <w:sz w:val="22"/>
          <w:szCs w:val="22"/>
        </w:rPr>
        <w:t xml:space="preserve">first-in-human feasibility study, the </w:t>
      </w:r>
      <w:proofErr w:type="gramStart"/>
      <w:r w:rsidRPr="009B0F6E">
        <w:rPr>
          <w:rFonts w:ascii="Calibri" w:hAnsi="Calibri" w:cs="Calibri"/>
          <w:sz w:val="22"/>
          <w:szCs w:val="22"/>
        </w:rPr>
        <w:t>Laminar</w:t>
      </w:r>
      <w:proofErr w:type="gramEnd"/>
      <w:r w:rsidRPr="009B0F6E">
        <w:rPr>
          <w:rFonts w:ascii="Calibri" w:hAnsi="Calibri" w:cs="Calibri"/>
          <w:sz w:val="22"/>
          <w:szCs w:val="22"/>
        </w:rPr>
        <w:t xml:space="preserve"> device was implanted achieving</w:t>
      </w:r>
      <w:r w:rsidR="00351D23" w:rsidRPr="009B0F6E">
        <w:rPr>
          <w:rFonts w:ascii="Calibri" w:hAnsi="Calibri" w:cs="Calibri"/>
          <w:sz w:val="22"/>
          <w:szCs w:val="22"/>
        </w:rPr>
        <w:t xml:space="preserve"> </w:t>
      </w:r>
      <w:r w:rsidRPr="009B0F6E">
        <w:rPr>
          <w:rFonts w:ascii="Calibri" w:hAnsi="Calibri" w:cs="Calibri"/>
          <w:sz w:val="22"/>
          <w:szCs w:val="22"/>
        </w:rPr>
        <w:t>100% procedural success. At 12-month follow-up, no DRTs, residual PDLs, or major adverse events were reported.</w:t>
      </w:r>
      <w:r w:rsidRPr="009B0F6E">
        <w:rPr>
          <w:rFonts w:ascii="Calibri" w:hAnsi="Calibri" w:cs="Calibri"/>
          <w:sz w:val="22"/>
          <w:szCs w:val="22"/>
          <w:vertAlign w:val="superscript"/>
        </w:rPr>
        <w:t>9</w:t>
      </w:r>
      <w:r w:rsidR="009D740F" w:rsidRPr="009B0F6E">
        <w:rPr>
          <w:rFonts w:ascii="Calibri" w:hAnsi="Calibri" w:cs="Calibri"/>
          <w:sz w:val="22"/>
          <w:szCs w:val="22"/>
          <w:vertAlign w:val="superscript"/>
        </w:rPr>
        <w:t>3</w:t>
      </w:r>
      <w:r w:rsidRPr="009B0F6E">
        <w:rPr>
          <w:rFonts w:ascii="Calibri" w:hAnsi="Calibri" w:cs="Calibri"/>
          <w:sz w:val="22"/>
          <w:szCs w:val="22"/>
        </w:rPr>
        <w:t xml:space="preserve"> </w:t>
      </w:r>
      <w:proofErr w:type="gramStart"/>
      <w:r w:rsidRPr="009B0F6E">
        <w:rPr>
          <w:rFonts w:ascii="Calibri" w:hAnsi="Calibri" w:cs="Calibri"/>
          <w:sz w:val="22"/>
          <w:szCs w:val="22"/>
        </w:rPr>
        <w:t>These</w:t>
      </w:r>
      <w:proofErr w:type="gramEnd"/>
      <w:r w:rsidRPr="009B0F6E">
        <w:rPr>
          <w:rFonts w:ascii="Calibri" w:hAnsi="Calibri" w:cs="Calibri"/>
          <w:sz w:val="22"/>
          <w:szCs w:val="22"/>
        </w:rPr>
        <w:t xml:space="preserve"> early results in a limited number of patients are encouraging but should be interpreted with caution given the small sample size and short follow-up. The Laminar device is now undergoing a large-scale</w:t>
      </w:r>
      <w:r w:rsidR="00351D23" w:rsidRPr="009B0F6E">
        <w:rPr>
          <w:rFonts w:ascii="Calibri" w:hAnsi="Calibri" w:cs="Calibri"/>
          <w:sz w:val="22"/>
          <w:szCs w:val="22"/>
        </w:rPr>
        <w:t xml:space="preserve"> </w:t>
      </w:r>
      <w:r w:rsidRPr="009B0F6E">
        <w:rPr>
          <w:rFonts w:ascii="Calibri" w:hAnsi="Calibri" w:cs="Calibri"/>
          <w:sz w:val="22"/>
          <w:szCs w:val="22"/>
        </w:rPr>
        <w:t>pivotal trial (LAAX IDE study), which aims to compare Laminar to currently FDA-approved LAA occluders, with long-term follow-up extending through 2032.</w:t>
      </w:r>
    </w:p>
    <w:p w14:paraId="0F479220" w14:textId="77777777" w:rsidR="00034C89" w:rsidRPr="009B0F6E" w:rsidRDefault="00034C89" w:rsidP="003A7AD9">
      <w:pPr>
        <w:widowControl w:val="0"/>
        <w:jc w:val="both"/>
        <w:rPr>
          <w:rFonts w:ascii="Calibri" w:hAnsi="Calibri" w:cs="Calibri"/>
          <w:sz w:val="22"/>
          <w:szCs w:val="22"/>
        </w:rPr>
      </w:pPr>
    </w:p>
    <w:p w14:paraId="304836CC" w14:textId="77777777" w:rsidR="00DD3127" w:rsidRPr="001E0E29" w:rsidRDefault="00C1376C" w:rsidP="003A7AD9">
      <w:pPr>
        <w:widowControl w:val="0"/>
        <w:jc w:val="both"/>
        <w:rPr>
          <w:rFonts w:ascii="Calibri" w:hAnsi="Calibri" w:cs="Calibri"/>
          <w:bCs/>
          <w:i/>
          <w:color w:val="1B1B1B"/>
          <w:sz w:val="22"/>
          <w:szCs w:val="22"/>
          <w:shd w:val="clear" w:color="auto" w:fill="FFFFFF"/>
        </w:rPr>
      </w:pPr>
      <w:r w:rsidRPr="001E0E29">
        <w:rPr>
          <w:rFonts w:ascii="Calibri" w:hAnsi="Calibri" w:cs="Calibri"/>
          <w:bCs/>
          <w:i/>
          <w:color w:val="1B1B1B"/>
          <w:sz w:val="22"/>
          <w:szCs w:val="22"/>
          <w:shd w:val="clear" w:color="auto" w:fill="FFFFFF"/>
        </w:rPr>
        <w:t>LAmbre™ (Lifetech Scientific Corp.)</w:t>
      </w:r>
    </w:p>
    <w:p w14:paraId="304836CD" w14:textId="09F7234B"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The LAmbre device is a self-expanding device made of nitinol mesh and covered PET membranes, offering a double sealing and stabilization mechanism. Structurally, LAmbre consists of two main components: a distal lobe (umbrella), and a proximal disc (cover). The distal lobe features two rows of eight perimetric anchors and eight small distal hooks that embed into the LAA wall, supported by a mild radial force for enhanced fixation.</w:t>
      </w:r>
      <w:r w:rsidRPr="009B0F6E">
        <w:rPr>
          <w:rFonts w:ascii="Calibri" w:hAnsi="Calibri" w:cs="Calibri"/>
          <w:sz w:val="22"/>
          <w:szCs w:val="22"/>
          <w:vertAlign w:val="superscript"/>
        </w:rPr>
        <w:t>9</w:t>
      </w:r>
      <w:r w:rsidR="009D740F" w:rsidRPr="009B0F6E">
        <w:rPr>
          <w:rFonts w:ascii="Calibri" w:hAnsi="Calibri" w:cs="Calibri"/>
          <w:sz w:val="22"/>
          <w:szCs w:val="22"/>
          <w:vertAlign w:val="superscript"/>
        </w:rPr>
        <w:t>4</w:t>
      </w:r>
      <w:r w:rsidRPr="009B0F6E">
        <w:rPr>
          <w:rFonts w:ascii="Calibri" w:hAnsi="Calibri" w:cs="Calibri"/>
          <w:sz w:val="22"/>
          <w:szCs w:val="22"/>
        </w:rPr>
        <w:t xml:space="preserve"> </w:t>
      </w:r>
      <w:proofErr w:type="gramStart"/>
      <w:r w:rsidRPr="009B0F6E">
        <w:rPr>
          <w:rFonts w:ascii="Calibri" w:hAnsi="Calibri" w:cs="Calibri"/>
          <w:sz w:val="22"/>
          <w:szCs w:val="22"/>
        </w:rPr>
        <w:t>The</w:t>
      </w:r>
      <w:proofErr w:type="gramEnd"/>
      <w:r w:rsidRPr="009B0F6E">
        <w:rPr>
          <w:rFonts w:ascii="Calibri" w:hAnsi="Calibri" w:cs="Calibri"/>
          <w:sz w:val="22"/>
          <w:szCs w:val="22"/>
        </w:rPr>
        <w:t xml:space="preserve"> proximal disc covers the LAA ostium and incorporates a recessed proximal screw to minimize the risk of DRT. A short, articulating central waist connects the lobe and the disc, allowing them to align independently and conform to complex anatomies without compromising device stability.</w:t>
      </w:r>
      <w:r w:rsidRPr="009B0F6E">
        <w:rPr>
          <w:rFonts w:ascii="Calibri" w:hAnsi="Calibri" w:cs="Calibri"/>
          <w:color w:val="1B1B1B"/>
          <w:sz w:val="22"/>
          <w:szCs w:val="22"/>
          <w:shd w:val="clear" w:color="auto" w:fill="FFFFFF"/>
        </w:rPr>
        <w:t xml:space="preserve"> </w:t>
      </w:r>
      <w:r w:rsidRPr="009B0F6E">
        <w:rPr>
          <w:rFonts w:ascii="Calibri" w:hAnsi="Calibri" w:cs="Calibri"/>
          <w:sz w:val="22"/>
          <w:szCs w:val="22"/>
        </w:rPr>
        <w:t>LAmbre is available in two configurations to accommodate both single-lobe and double-lobe LAA anatomies. With a total device length of less than 10 mm, LAmbre may be particularly useful for patients with shallow LAA morphologies.</w:t>
      </w:r>
      <w:r w:rsidR="009D740F" w:rsidRPr="009B0F6E">
        <w:rPr>
          <w:rFonts w:ascii="Calibri" w:hAnsi="Calibri" w:cs="Calibri"/>
          <w:sz w:val="22"/>
          <w:szCs w:val="22"/>
          <w:vertAlign w:val="superscript"/>
        </w:rPr>
        <w:t>95</w:t>
      </w:r>
    </w:p>
    <w:p w14:paraId="47BD940A" w14:textId="77777777" w:rsidR="00034C89" w:rsidRPr="009B0F6E" w:rsidRDefault="00034C89" w:rsidP="003A7AD9">
      <w:pPr>
        <w:widowControl w:val="0"/>
        <w:jc w:val="both"/>
        <w:rPr>
          <w:rFonts w:ascii="Calibri" w:hAnsi="Calibri" w:cs="Calibri"/>
          <w:sz w:val="22"/>
          <w:szCs w:val="22"/>
        </w:rPr>
      </w:pPr>
    </w:p>
    <w:p w14:paraId="304836CE" w14:textId="547BE504" w:rsidR="00DD3127" w:rsidRPr="001E0E29" w:rsidRDefault="00C1376C" w:rsidP="003A7AD9">
      <w:pPr>
        <w:widowControl w:val="0"/>
        <w:jc w:val="both"/>
        <w:rPr>
          <w:rFonts w:ascii="Calibri" w:hAnsi="Calibri" w:cs="Calibri"/>
          <w:i/>
          <w:sz w:val="22"/>
          <w:szCs w:val="22"/>
        </w:rPr>
      </w:pPr>
      <w:r w:rsidRPr="001E0E29">
        <w:rPr>
          <w:rFonts w:ascii="Calibri" w:hAnsi="Calibri" w:cs="Calibri"/>
          <w:bCs/>
          <w:i/>
          <w:sz w:val="22"/>
          <w:szCs w:val="22"/>
        </w:rPr>
        <w:t xml:space="preserve">Occlutech </w:t>
      </w:r>
      <w:r w:rsidR="000E746D" w:rsidRPr="009B0F6E">
        <w:rPr>
          <w:rFonts w:ascii="Calibri" w:hAnsi="Calibri" w:cs="Calibri"/>
          <w:bCs/>
          <w:i/>
          <w:sz w:val="22"/>
          <w:szCs w:val="22"/>
        </w:rPr>
        <w:t>l</w:t>
      </w:r>
      <w:r w:rsidRPr="001E0E29">
        <w:rPr>
          <w:rFonts w:ascii="Calibri" w:hAnsi="Calibri" w:cs="Calibri"/>
          <w:bCs/>
          <w:i/>
          <w:sz w:val="22"/>
          <w:szCs w:val="22"/>
        </w:rPr>
        <w:t xml:space="preserve">eft </w:t>
      </w:r>
      <w:r w:rsidR="000E746D" w:rsidRPr="009B0F6E">
        <w:rPr>
          <w:rFonts w:ascii="Calibri" w:hAnsi="Calibri" w:cs="Calibri"/>
          <w:bCs/>
          <w:i/>
          <w:sz w:val="22"/>
          <w:szCs w:val="22"/>
        </w:rPr>
        <w:t>a</w:t>
      </w:r>
      <w:r w:rsidRPr="001E0E29">
        <w:rPr>
          <w:rFonts w:ascii="Calibri" w:hAnsi="Calibri" w:cs="Calibri"/>
          <w:bCs/>
          <w:i/>
          <w:sz w:val="22"/>
          <w:szCs w:val="22"/>
        </w:rPr>
        <w:t xml:space="preserve">ppendage </w:t>
      </w:r>
      <w:r w:rsidR="000E746D" w:rsidRPr="009B0F6E">
        <w:rPr>
          <w:rFonts w:ascii="Calibri" w:hAnsi="Calibri" w:cs="Calibri"/>
          <w:bCs/>
          <w:i/>
          <w:sz w:val="22"/>
          <w:szCs w:val="22"/>
        </w:rPr>
        <w:t>c</w:t>
      </w:r>
      <w:r w:rsidRPr="001E0E29">
        <w:rPr>
          <w:rFonts w:ascii="Calibri" w:hAnsi="Calibri" w:cs="Calibri"/>
          <w:bCs/>
          <w:i/>
          <w:sz w:val="22"/>
          <w:szCs w:val="22"/>
        </w:rPr>
        <w:t xml:space="preserve">losure </w:t>
      </w:r>
      <w:r w:rsidR="000E746D" w:rsidRPr="009B0F6E">
        <w:rPr>
          <w:rFonts w:ascii="Calibri" w:hAnsi="Calibri" w:cs="Calibri"/>
          <w:bCs/>
          <w:i/>
          <w:sz w:val="22"/>
          <w:szCs w:val="22"/>
        </w:rPr>
        <w:t>d</w:t>
      </w:r>
      <w:r w:rsidRPr="001E0E29">
        <w:rPr>
          <w:rFonts w:ascii="Calibri" w:hAnsi="Calibri" w:cs="Calibri"/>
          <w:bCs/>
          <w:i/>
          <w:sz w:val="22"/>
          <w:szCs w:val="22"/>
        </w:rPr>
        <w:t>evice (</w:t>
      </w:r>
      <w:r w:rsidRPr="001E0E29">
        <w:rPr>
          <w:rFonts w:ascii="Calibri" w:hAnsi="Calibri" w:cs="Calibri"/>
          <w:bCs/>
          <w:i/>
          <w:color w:val="222222"/>
          <w:sz w:val="22"/>
          <w:szCs w:val="22"/>
          <w:shd w:val="clear" w:color="auto" w:fill="FFFFFF"/>
        </w:rPr>
        <w:t>Occlutech</w:t>
      </w:r>
      <w:r w:rsidRPr="001E0E29">
        <w:rPr>
          <w:rFonts w:ascii="Calibri" w:hAnsi="Calibri" w:cs="Calibri"/>
          <w:bCs/>
          <w:i/>
          <w:sz w:val="22"/>
          <w:szCs w:val="22"/>
        </w:rPr>
        <w:t>)</w:t>
      </w:r>
    </w:p>
    <w:p w14:paraId="304836CF" w14:textId="1675E225"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shd w:val="clear" w:color="auto" w:fill="FFFFFF"/>
        </w:rPr>
        <w:t xml:space="preserve">The Occlutech device consists of a self-expanding, flexible nitinol cylindrical shaped mesh that adapts on the shape of the LAA. The proximal diameter of the device is larger than the distal one, and this contributes to </w:t>
      </w:r>
      <w:r w:rsidRPr="009B0F6E">
        <w:rPr>
          <w:rFonts w:ascii="Calibri" w:hAnsi="Calibri" w:cs="Calibri"/>
          <w:color w:val="222222"/>
          <w:sz w:val="22"/>
          <w:szCs w:val="22"/>
          <w:shd w:val="clear" w:color="auto" w:fill="FFFFFF"/>
        </w:rPr>
        <w:t xml:space="preserve">obstructing the neck of the LAA and sealing the ostium. </w:t>
      </w:r>
      <w:r w:rsidRPr="009B0F6E">
        <w:rPr>
          <w:rFonts w:ascii="Calibri" w:hAnsi="Calibri" w:cs="Calibri"/>
          <w:sz w:val="22"/>
          <w:szCs w:val="22"/>
          <w:shd w:val="clear" w:color="auto" w:fill="FFFFFF"/>
        </w:rPr>
        <w:t xml:space="preserve">The loops at the distal rim aim to keep the implanted device in a stable position and are less traumatic than barbs, </w:t>
      </w:r>
      <w:r w:rsidRPr="009B0F6E">
        <w:rPr>
          <w:rFonts w:ascii="Calibri" w:hAnsi="Calibri" w:cs="Calibri"/>
          <w:sz w:val="22"/>
          <w:szCs w:val="22"/>
        </w:rPr>
        <w:t xml:space="preserve">with the aim of reducing the risk of </w:t>
      </w:r>
      <w:r w:rsidRPr="009B0F6E">
        <w:rPr>
          <w:rFonts w:ascii="Calibri" w:hAnsi="Calibri" w:cs="Calibri"/>
          <w:sz w:val="22"/>
          <w:szCs w:val="22"/>
          <w:shd w:val="clear" w:color="auto" w:fill="FFFFFF"/>
        </w:rPr>
        <w:t>perforation and pericardial effusion.</w:t>
      </w:r>
      <w:r w:rsidR="009D740F" w:rsidRPr="009B0F6E">
        <w:rPr>
          <w:rFonts w:ascii="Calibri" w:hAnsi="Calibri" w:cs="Calibri"/>
          <w:sz w:val="22"/>
          <w:szCs w:val="22"/>
          <w:vertAlign w:val="superscript"/>
        </w:rPr>
        <w:t>96</w:t>
      </w:r>
      <w:r w:rsidRPr="009B0F6E">
        <w:rPr>
          <w:rFonts w:ascii="Calibri" w:hAnsi="Calibri" w:cs="Calibri"/>
          <w:sz w:val="22"/>
          <w:szCs w:val="22"/>
          <w:shd w:val="clear" w:color="auto" w:fill="FFFFFF"/>
        </w:rPr>
        <w:t xml:space="preserve"> </w:t>
      </w:r>
      <w:proofErr w:type="gramStart"/>
      <w:r w:rsidRPr="009B0F6E">
        <w:rPr>
          <w:rFonts w:ascii="Calibri" w:hAnsi="Calibri" w:cs="Calibri"/>
          <w:sz w:val="22"/>
          <w:szCs w:val="22"/>
          <w:shd w:val="clear" w:color="auto" w:fill="FFFFFF"/>
        </w:rPr>
        <w:t>The</w:t>
      </w:r>
      <w:proofErr w:type="gramEnd"/>
      <w:r w:rsidRPr="009B0F6E">
        <w:rPr>
          <w:rFonts w:ascii="Calibri" w:hAnsi="Calibri" w:cs="Calibri"/>
          <w:sz w:val="22"/>
          <w:szCs w:val="22"/>
          <w:shd w:val="clear" w:color="auto" w:fill="FFFFFF"/>
        </w:rPr>
        <w:t xml:space="preserve"> outer surface of the occluder is covered with a </w:t>
      </w:r>
      <w:r w:rsidRPr="009B0F6E">
        <w:rPr>
          <w:rFonts w:ascii="Calibri" w:hAnsi="Calibri" w:cs="Calibri"/>
          <w:color w:val="222222"/>
          <w:sz w:val="22"/>
          <w:szCs w:val="22"/>
          <w:shd w:val="clear" w:color="auto" w:fill="FFFFFF"/>
        </w:rPr>
        <w:t>polyurethane</w:t>
      </w:r>
      <w:r w:rsidRPr="009B0F6E">
        <w:rPr>
          <w:rFonts w:ascii="Calibri" w:hAnsi="Calibri" w:cs="Calibri"/>
          <w:sz w:val="22"/>
          <w:szCs w:val="22"/>
          <w:shd w:val="clear" w:color="auto" w:fill="FFFFFF"/>
        </w:rPr>
        <w:t xml:space="preserve"> membrane that allows exclusion of blood flow. </w:t>
      </w:r>
      <w:r w:rsidRPr="009B0F6E">
        <w:rPr>
          <w:rFonts w:ascii="Calibri" w:hAnsi="Calibri" w:cs="Calibri"/>
          <w:color w:val="222222"/>
          <w:sz w:val="22"/>
          <w:szCs w:val="22"/>
          <w:shd w:val="clear" w:color="auto" w:fill="FFFFFF"/>
        </w:rPr>
        <w:t>As an insufficient anchoring of the device was identified as a safety concern during the first clinical trial, in the second generation of the device additional anchors were added to the design that support distal loops to ensure a safe fixation in the LAA.</w:t>
      </w:r>
      <w:r w:rsidR="009D740F" w:rsidRPr="009B0F6E">
        <w:rPr>
          <w:rFonts w:ascii="Calibri" w:hAnsi="Calibri" w:cs="Calibri"/>
          <w:sz w:val="22"/>
          <w:szCs w:val="22"/>
          <w:vertAlign w:val="superscript"/>
        </w:rPr>
        <w:t>97</w:t>
      </w:r>
    </w:p>
    <w:p w14:paraId="4EE5293C" w14:textId="77777777" w:rsidR="00034C89" w:rsidRPr="009B0F6E" w:rsidRDefault="00034C89" w:rsidP="003A7AD9">
      <w:pPr>
        <w:widowControl w:val="0"/>
        <w:jc w:val="both"/>
        <w:rPr>
          <w:rFonts w:ascii="Calibri" w:hAnsi="Calibri" w:cs="Calibri"/>
          <w:sz w:val="22"/>
          <w:szCs w:val="22"/>
        </w:rPr>
      </w:pPr>
    </w:p>
    <w:p w14:paraId="304836D2" w14:textId="77777777" w:rsidR="00DD3127" w:rsidRPr="001E0E29" w:rsidRDefault="00C1376C" w:rsidP="003A7AD9">
      <w:pPr>
        <w:widowControl w:val="0"/>
        <w:jc w:val="both"/>
        <w:rPr>
          <w:rFonts w:ascii="Calibri" w:hAnsi="Calibri" w:cs="Calibri"/>
          <w:i/>
          <w:sz w:val="22"/>
          <w:szCs w:val="22"/>
        </w:rPr>
      </w:pPr>
      <w:r w:rsidRPr="001E0E29">
        <w:rPr>
          <w:rFonts w:ascii="Calibri" w:hAnsi="Calibri" w:cs="Calibri"/>
          <w:bCs/>
          <w:i/>
          <w:sz w:val="22"/>
          <w:szCs w:val="22"/>
        </w:rPr>
        <w:t>Ultraseal (Cardia)</w:t>
      </w:r>
    </w:p>
    <w:p w14:paraId="304836D4" w14:textId="4371661B" w:rsidR="00DD3127" w:rsidRPr="009B0F6E" w:rsidRDefault="00C1376C" w:rsidP="003A7AD9">
      <w:pPr>
        <w:widowControl w:val="0"/>
        <w:jc w:val="both"/>
        <w:rPr>
          <w:rFonts w:ascii="Calibri" w:hAnsi="Calibri" w:cs="Calibri"/>
          <w:sz w:val="22"/>
          <w:szCs w:val="22"/>
        </w:rPr>
      </w:pPr>
      <w:r w:rsidRPr="009B0F6E">
        <w:rPr>
          <w:rFonts w:ascii="Calibri" w:hAnsi="Calibri" w:cs="Calibri"/>
          <w:color w:val="333333"/>
          <w:sz w:val="22"/>
          <w:szCs w:val="22"/>
          <w:shd w:val="clear" w:color="auto" w:fill="FFFFFF"/>
        </w:rPr>
        <w:t>The Ultraseal LAAC device is a fully retrievable self-expandable nitinol device composed of 2 parts: a soft distal bulb that anchors the device to the LAA through 12 stabilizing hooks and a 3-leaflet multilayered sail with a proximal polyvinyl alcohol foam and a distal polyester layer, for LAA occlusion. These elements are connected by a dual articulating joint, enabling multidirectional movement and optimal adjustment to different ostium angles and shapes.</w:t>
      </w:r>
      <w:r w:rsidRPr="009B0F6E">
        <w:rPr>
          <w:rFonts w:ascii="Calibri" w:hAnsi="Calibri" w:cs="Calibri"/>
          <w:sz w:val="22"/>
          <w:szCs w:val="22"/>
          <w:vertAlign w:val="superscript"/>
        </w:rPr>
        <w:t>6</w:t>
      </w:r>
      <w:r w:rsidR="009D740F" w:rsidRPr="009B0F6E">
        <w:rPr>
          <w:rFonts w:ascii="Calibri" w:hAnsi="Calibri" w:cs="Calibri"/>
          <w:sz w:val="22"/>
          <w:szCs w:val="22"/>
          <w:vertAlign w:val="superscript"/>
        </w:rPr>
        <w:t>5</w:t>
      </w:r>
      <w:r w:rsidRPr="009B0F6E">
        <w:rPr>
          <w:rFonts w:ascii="Calibri" w:hAnsi="Calibri" w:cs="Calibri"/>
          <w:color w:val="333333"/>
          <w:sz w:val="22"/>
          <w:szCs w:val="22"/>
          <w:shd w:val="clear" w:color="auto" w:fill="FFFFFF"/>
        </w:rPr>
        <w:t xml:space="preserve"> </w:t>
      </w:r>
      <w:r w:rsidRPr="009B0F6E">
        <w:rPr>
          <w:rFonts w:ascii="Calibri" w:hAnsi="Calibri" w:cs="Calibri"/>
          <w:sz w:val="22"/>
          <w:szCs w:val="22"/>
        </w:rPr>
        <w:t>Clinical experience with Ultraseal remains relatively limited, and additional studies are needed to characterize long-term safety, durability of occlusion and the balance between stroke prevention, DRT and bleeding under different antithrombotic strategies.</w:t>
      </w:r>
    </w:p>
    <w:p w14:paraId="69F0F6B6" w14:textId="77777777" w:rsidR="00034C89" w:rsidRPr="009B0F6E" w:rsidRDefault="00034C89" w:rsidP="003A7AD9">
      <w:pPr>
        <w:widowControl w:val="0"/>
        <w:jc w:val="both"/>
        <w:rPr>
          <w:rFonts w:ascii="Calibri" w:hAnsi="Calibri" w:cs="Calibri"/>
          <w:sz w:val="22"/>
          <w:szCs w:val="22"/>
        </w:rPr>
      </w:pPr>
    </w:p>
    <w:p w14:paraId="304836D5" w14:textId="77777777" w:rsidR="00DD3127" w:rsidRPr="009B0F6E" w:rsidRDefault="00C1376C" w:rsidP="003A7AD9">
      <w:pPr>
        <w:widowControl w:val="0"/>
        <w:jc w:val="both"/>
        <w:rPr>
          <w:rFonts w:ascii="Calibri" w:hAnsi="Calibri" w:cs="Calibri"/>
          <w:sz w:val="22"/>
          <w:szCs w:val="22"/>
        </w:rPr>
      </w:pPr>
      <w:r w:rsidRPr="009B0F6E">
        <w:rPr>
          <w:rFonts w:ascii="Calibri" w:hAnsi="Calibri" w:cs="Calibri"/>
          <w:b/>
          <w:bCs/>
          <w:sz w:val="22"/>
          <w:szCs w:val="22"/>
        </w:rPr>
        <w:t>Conclusion</w:t>
      </w:r>
    </w:p>
    <w:p w14:paraId="304836D6" w14:textId="7066EA47"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LAAC has undergone a remarkable evolution from a marginal surgical intervention to a clinically validated guideline-endorsed option for stroke prevention in patients with NVAF. Today, LAAC stands as a valuable alternative or adjunct to anticoagulation therapy, particularly for patients with a high bleeding risk or absolute contraindications to long-term oral anticoagulants. This transformation has been driven by technological innovation. New-generation devices now offer enhanced safety, improved anatomical conformability, and more reliable occlusion, thanks to features such as advanced anchoring systems, biocompatible surfaces that promote rapid endothelialization, and strategies that eliminate intracardiac implants altogether. These advancements have reduced procedural complications and minimized residual leaks and DRT, while expanding applicability to a broader range of anatomies and clinical scenarios.</w:t>
      </w:r>
    </w:p>
    <w:p w14:paraId="20B06BD2" w14:textId="77777777" w:rsidR="00DC4445" w:rsidRPr="009B0F6E" w:rsidRDefault="00DC4445" w:rsidP="003A7AD9">
      <w:pPr>
        <w:widowControl w:val="0"/>
        <w:jc w:val="both"/>
        <w:rPr>
          <w:rFonts w:ascii="Calibri" w:hAnsi="Calibri" w:cs="Calibri"/>
          <w:sz w:val="22"/>
          <w:szCs w:val="22"/>
        </w:rPr>
      </w:pPr>
    </w:p>
    <w:p w14:paraId="304836D7" w14:textId="3736A925"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Trials such as PRAGUE-17 and OPTION suggest that LAAC can provide stroke prevention comparable to DOACs while reducing bleeding in carefully selected patients, including those undergoing catheter ablation, thereby supporting its role as a valuable alternative or adjunct to long-term anticoagulation.</w:t>
      </w:r>
    </w:p>
    <w:p w14:paraId="2B25187A" w14:textId="77777777" w:rsidR="00DC4445" w:rsidRPr="009B0F6E" w:rsidRDefault="00DC4445" w:rsidP="003A7AD9">
      <w:pPr>
        <w:widowControl w:val="0"/>
        <w:jc w:val="both"/>
        <w:rPr>
          <w:rFonts w:ascii="Calibri" w:hAnsi="Calibri" w:cs="Calibri"/>
          <w:sz w:val="22"/>
          <w:szCs w:val="22"/>
        </w:rPr>
      </w:pPr>
    </w:p>
    <w:p w14:paraId="304836D8" w14:textId="10F4FDEF"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At the same time, the recent evidence shows that the net clinical benefit of LAAC is not uniform across all high-risk patients. In very elderly individuals with extreme baseline thromboembolic and bleeding risk, the combination of procedural complications and the burden of post-procedural antithrombotic therapy may offset the expected benefit in stroke reduction. These findings support the notion that outcomes after LAAC are critically dependent on three tightly interrelated factors: appropriate patient selection, procedural safety, and optimization of post-implant antithrombotic regimens. In this context, LAAC should be viewed less as a one-size-fits-all alternative to anticoagulation and more as a component of a personalized, risk-adapted strategy.</w:t>
      </w:r>
    </w:p>
    <w:p w14:paraId="4928DB35" w14:textId="77777777" w:rsidR="00DC4445" w:rsidRPr="009B0F6E" w:rsidRDefault="00DC4445" w:rsidP="003A7AD9">
      <w:pPr>
        <w:widowControl w:val="0"/>
        <w:jc w:val="both"/>
        <w:rPr>
          <w:rFonts w:ascii="Calibri" w:hAnsi="Calibri" w:cs="Calibri"/>
          <w:sz w:val="22"/>
          <w:szCs w:val="22"/>
        </w:rPr>
      </w:pPr>
    </w:p>
    <w:p w14:paraId="304836D9" w14:textId="77777777" w:rsidR="00DD3127" w:rsidRPr="009B0F6E" w:rsidRDefault="00C1376C" w:rsidP="003A7AD9">
      <w:pPr>
        <w:widowControl w:val="0"/>
        <w:jc w:val="both"/>
        <w:rPr>
          <w:rFonts w:ascii="Calibri" w:hAnsi="Calibri" w:cs="Calibri"/>
          <w:sz w:val="22"/>
          <w:szCs w:val="22"/>
        </w:rPr>
      </w:pPr>
      <w:r w:rsidRPr="009B0F6E">
        <w:rPr>
          <w:rFonts w:ascii="Calibri" w:hAnsi="Calibri" w:cs="Calibri"/>
          <w:sz w:val="22"/>
          <w:szCs w:val="22"/>
        </w:rPr>
        <w:t>Looking ahead, ongoing randomized trials across the risk spectrum are expected to refine the indications, timing, and therapeutic combinations for LAAC. In parallel, emerging implant-based and implant-free technologies aim to further enhance procedural efficacy, expand anatomical eligibility, and minimize long-term bleeding by enabling shorter and less intensive antithrombotic regimens. As these data mature, LAAC may consolidate its role from a niche intervention reserved for “no-option” patients to an integral element of comprehensive AF management, provided its use remains grounded in careful, individualized assessment of the trade-offs between stroke prevention, bleeding risk, and procedural safety.</w:t>
      </w:r>
    </w:p>
    <w:p w14:paraId="304836E6" w14:textId="5C3586CC" w:rsidR="00DD3127" w:rsidRPr="009B0F6E" w:rsidRDefault="00DD3127" w:rsidP="003A7AD9">
      <w:pPr>
        <w:widowControl w:val="0"/>
        <w:jc w:val="both"/>
        <w:rPr>
          <w:rFonts w:ascii="Calibri" w:hAnsi="Calibri" w:cs="Calibri"/>
          <w:sz w:val="22"/>
          <w:szCs w:val="22"/>
        </w:rPr>
      </w:pPr>
    </w:p>
    <w:p w14:paraId="304836E7" w14:textId="4703B3F4" w:rsidR="00DD3127" w:rsidRPr="009B0F6E" w:rsidRDefault="00C1376C" w:rsidP="003A7AD9">
      <w:pPr>
        <w:widowControl w:val="0"/>
        <w:jc w:val="both"/>
        <w:rPr>
          <w:rFonts w:ascii="Calibri" w:hAnsi="Calibri" w:cs="Calibri"/>
          <w:b/>
          <w:bCs/>
          <w:sz w:val="22"/>
          <w:szCs w:val="22"/>
        </w:rPr>
      </w:pPr>
      <w:r w:rsidRPr="009B0F6E">
        <w:rPr>
          <w:rFonts w:ascii="Calibri" w:hAnsi="Calibri" w:cs="Calibri"/>
          <w:b/>
          <w:bCs/>
          <w:sz w:val="22"/>
          <w:szCs w:val="22"/>
        </w:rPr>
        <w:t>References</w:t>
      </w:r>
    </w:p>
    <w:p w14:paraId="304836E8" w14:textId="41D17AEE"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Ohlrogge AH, Brederecke J, Schnabel RB. Global </w:t>
      </w:r>
      <w:r w:rsidR="00314654" w:rsidRPr="009B0F6E">
        <w:rPr>
          <w:rFonts w:ascii="Calibri" w:hAnsi="Calibri" w:cs="Calibri"/>
          <w:sz w:val="22"/>
          <w:szCs w:val="22"/>
          <w:lang w:val="en-US"/>
        </w:rPr>
        <w:t>b</w:t>
      </w:r>
      <w:r w:rsidRPr="009B0F6E">
        <w:rPr>
          <w:rFonts w:ascii="Calibri" w:hAnsi="Calibri" w:cs="Calibri"/>
          <w:sz w:val="22"/>
          <w:szCs w:val="22"/>
          <w:lang w:val="en-US"/>
        </w:rPr>
        <w:t xml:space="preserve">urden of </w:t>
      </w:r>
      <w:r w:rsidR="00314654" w:rsidRPr="009B0F6E">
        <w:rPr>
          <w:rFonts w:ascii="Calibri" w:hAnsi="Calibri" w:cs="Calibri"/>
          <w:sz w:val="22"/>
          <w:szCs w:val="22"/>
          <w:lang w:val="en-US"/>
        </w:rPr>
        <w:t>a</w:t>
      </w:r>
      <w:r w:rsidRPr="009B0F6E">
        <w:rPr>
          <w:rFonts w:ascii="Calibri" w:hAnsi="Calibri" w:cs="Calibri"/>
          <w:sz w:val="22"/>
          <w:szCs w:val="22"/>
          <w:lang w:val="en-US"/>
        </w:rPr>
        <w:t xml:space="preserve">trial </w:t>
      </w:r>
      <w:r w:rsidR="00314654" w:rsidRPr="009B0F6E">
        <w:rPr>
          <w:rFonts w:ascii="Calibri" w:hAnsi="Calibri" w:cs="Calibri"/>
          <w:sz w:val="22"/>
          <w:szCs w:val="22"/>
          <w:lang w:val="en-US"/>
        </w:rPr>
        <w:t>f</w:t>
      </w:r>
      <w:r w:rsidRPr="009B0F6E">
        <w:rPr>
          <w:rFonts w:ascii="Calibri" w:hAnsi="Calibri" w:cs="Calibri"/>
          <w:sz w:val="22"/>
          <w:szCs w:val="22"/>
          <w:lang w:val="en-US"/>
        </w:rPr>
        <w:t xml:space="preserve">ibrillation and </w:t>
      </w:r>
      <w:r w:rsidR="00314654" w:rsidRPr="009B0F6E">
        <w:rPr>
          <w:rFonts w:ascii="Calibri" w:hAnsi="Calibri" w:cs="Calibri"/>
          <w:sz w:val="22"/>
          <w:szCs w:val="22"/>
          <w:lang w:val="en-US"/>
        </w:rPr>
        <w:t>f</w:t>
      </w:r>
      <w:r w:rsidRPr="009B0F6E">
        <w:rPr>
          <w:rFonts w:ascii="Calibri" w:hAnsi="Calibri" w:cs="Calibri"/>
          <w:sz w:val="22"/>
          <w:szCs w:val="22"/>
          <w:lang w:val="en-US"/>
        </w:rPr>
        <w:t xml:space="preserve">lutter by </w:t>
      </w:r>
      <w:r w:rsidR="00314654" w:rsidRPr="009B0F6E">
        <w:rPr>
          <w:rFonts w:ascii="Calibri" w:hAnsi="Calibri" w:cs="Calibri"/>
          <w:sz w:val="22"/>
          <w:szCs w:val="22"/>
          <w:lang w:val="en-US"/>
        </w:rPr>
        <w:t>n</w:t>
      </w:r>
      <w:r w:rsidRPr="009B0F6E">
        <w:rPr>
          <w:rFonts w:ascii="Calibri" w:hAnsi="Calibri" w:cs="Calibri"/>
          <w:sz w:val="22"/>
          <w:szCs w:val="22"/>
          <w:lang w:val="en-US"/>
        </w:rPr>
        <w:t xml:space="preserve">ational </w:t>
      </w:r>
      <w:r w:rsidR="00314654" w:rsidRPr="009B0F6E">
        <w:rPr>
          <w:rFonts w:ascii="Calibri" w:hAnsi="Calibri" w:cs="Calibri"/>
          <w:sz w:val="22"/>
          <w:szCs w:val="22"/>
          <w:lang w:val="en-US"/>
        </w:rPr>
        <w:t>i</w:t>
      </w:r>
      <w:r w:rsidRPr="009B0F6E">
        <w:rPr>
          <w:rFonts w:ascii="Calibri" w:hAnsi="Calibri" w:cs="Calibri"/>
          <w:sz w:val="22"/>
          <w:szCs w:val="22"/>
          <w:lang w:val="en-US"/>
        </w:rPr>
        <w:t xml:space="preserve">ncome: </w:t>
      </w:r>
      <w:r w:rsidR="00314654" w:rsidRPr="009B0F6E">
        <w:rPr>
          <w:rFonts w:ascii="Calibri" w:hAnsi="Calibri" w:cs="Calibri"/>
          <w:sz w:val="22"/>
          <w:szCs w:val="22"/>
          <w:lang w:val="en-US"/>
        </w:rPr>
        <w:t>r</w:t>
      </w:r>
      <w:r w:rsidRPr="009B0F6E">
        <w:rPr>
          <w:rFonts w:ascii="Calibri" w:hAnsi="Calibri" w:cs="Calibri"/>
          <w:sz w:val="22"/>
          <w:szCs w:val="22"/>
          <w:lang w:val="en-US"/>
        </w:rPr>
        <w:t xml:space="preserve">esults </w:t>
      </w:r>
      <w:r w:rsidR="00314654" w:rsidRPr="009B0F6E">
        <w:rPr>
          <w:rFonts w:ascii="Calibri" w:hAnsi="Calibri" w:cs="Calibri"/>
          <w:sz w:val="22"/>
          <w:szCs w:val="22"/>
          <w:lang w:val="en-US"/>
        </w:rPr>
        <w:t>f</w:t>
      </w:r>
      <w:r w:rsidRPr="009B0F6E">
        <w:rPr>
          <w:rFonts w:ascii="Calibri" w:hAnsi="Calibri" w:cs="Calibri"/>
          <w:sz w:val="22"/>
          <w:szCs w:val="22"/>
          <w:lang w:val="en-US"/>
        </w:rPr>
        <w:t xml:space="preserve">rom the </w:t>
      </w:r>
      <w:r w:rsidR="00314654" w:rsidRPr="009B0F6E">
        <w:rPr>
          <w:rFonts w:ascii="Calibri" w:hAnsi="Calibri" w:cs="Calibri"/>
          <w:sz w:val="22"/>
          <w:szCs w:val="22"/>
          <w:lang w:val="en-US"/>
        </w:rPr>
        <w:t>g</w:t>
      </w:r>
      <w:r w:rsidRPr="009B0F6E">
        <w:rPr>
          <w:rFonts w:ascii="Calibri" w:hAnsi="Calibri" w:cs="Calibri"/>
          <w:sz w:val="22"/>
          <w:szCs w:val="22"/>
          <w:lang w:val="en-US"/>
        </w:rPr>
        <w:t xml:space="preserve">lobal </w:t>
      </w:r>
      <w:r w:rsidR="00314654" w:rsidRPr="009B0F6E">
        <w:rPr>
          <w:rFonts w:ascii="Calibri" w:hAnsi="Calibri" w:cs="Calibri"/>
          <w:sz w:val="22"/>
          <w:szCs w:val="22"/>
          <w:lang w:val="en-US"/>
        </w:rPr>
        <w:t>b</w:t>
      </w:r>
      <w:r w:rsidRPr="009B0F6E">
        <w:rPr>
          <w:rFonts w:ascii="Calibri" w:hAnsi="Calibri" w:cs="Calibri"/>
          <w:sz w:val="22"/>
          <w:szCs w:val="22"/>
          <w:lang w:val="en-US"/>
        </w:rPr>
        <w:t xml:space="preserve">urden of </w:t>
      </w:r>
      <w:r w:rsidR="00314654" w:rsidRPr="009B0F6E">
        <w:rPr>
          <w:rFonts w:ascii="Calibri" w:hAnsi="Calibri" w:cs="Calibri"/>
          <w:sz w:val="22"/>
          <w:szCs w:val="22"/>
          <w:lang w:val="en-US"/>
        </w:rPr>
        <w:t>d</w:t>
      </w:r>
      <w:r w:rsidRPr="009B0F6E">
        <w:rPr>
          <w:rFonts w:ascii="Calibri" w:hAnsi="Calibri" w:cs="Calibri"/>
          <w:sz w:val="22"/>
          <w:szCs w:val="22"/>
          <w:lang w:val="en-US"/>
        </w:rPr>
        <w:t xml:space="preserve">isease 2019 </w:t>
      </w:r>
      <w:r w:rsidR="00314654" w:rsidRPr="009B0F6E">
        <w:rPr>
          <w:rFonts w:ascii="Calibri" w:hAnsi="Calibri" w:cs="Calibri"/>
          <w:sz w:val="22"/>
          <w:szCs w:val="22"/>
          <w:lang w:val="en-US"/>
        </w:rPr>
        <w:t>d</w:t>
      </w:r>
      <w:r w:rsidRPr="009B0F6E">
        <w:rPr>
          <w:rFonts w:ascii="Calibri" w:hAnsi="Calibri" w:cs="Calibri"/>
          <w:sz w:val="22"/>
          <w:szCs w:val="22"/>
          <w:lang w:val="en-US"/>
        </w:rPr>
        <w:t xml:space="preserve">atabase. </w:t>
      </w:r>
      <w:r w:rsidRPr="009B0F6E">
        <w:rPr>
          <w:rFonts w:ascii="Calibri" w:hAnsi="Calibri" w:cs="Calibri"/>
          <w:i/>
          <w:iCs/>
          <w:sz w:val="22"/>
          <w:szCs w:val="22"/>
          <w:lang w:val="en-US"/>
        </w:rPr>
        <w:t>J Am Heart Assoc</w:t>
      </w:r>
      <w:r w:rsidRPr="009B0F6E">
        <w:rPr>
          <w:rFonts w:ascii="Calibri" w:hAnsi="Calibri" w:cs="Calibri"/>
          <w:sz w:val="22"/>
          <w:szCs w:val="22"/>
          <w:lang w:val="en-US"/>
        </w:rPr>
        <w:t>. 2023</w:t>
      </w:r>
      <w:proofErr w:type="gramStart"/>
      <w:r w:rsidRPr="009B0F6E">
        <w:rPr>
          <w:rFonts w:ascii="Calibri" w:hAnsi="Calibri" w:cs="Calibri"/>
          <w:sz w:val="22"/>
          <w:szCs w:val="22"/>
          <w:lang w:val="en-US"/>
        </w:rPr>
        <w:t>;12</w:t>
      </w:r>
      <w:proofErr w:type="gramEnd"/>
      <w:r w:rsidRPr="009B0F6E">
        <w:rPr>
          <w:rFonts w:ascii="Calibri" w:hAnsi="Calibri" w:cs="Calibri"/>
          <w:sz w:val="22"/>
          <w:szCs w:val="22"/>
          <w:lang w:val="en-US"/>
        </w:rPr>
        <w:t xml:space="preserve">(17):e030438. </w:t>
      </w:r>
      <w:hyperlink r:id="rId8" w:history="1">
        <w:r w:rsidRPr="009B0F6E">
          <w:rPr>
            <w:rStyle w:val="Hyperlink"/>
            <w:rFonts w:ascii="Calibri" w:hAnsi="Calibri" w:cs="Calibri"/>
            <w:sz w:val="22"/>
            <w:szCs w:val="22"/>
            <w:lang w:val="en-US"/>
          </w:rPr>
          <w:t>[CrossRef]</w:t>
        </w:r>
      </w:hyperlink>
      <w:r w:rsidR="009B761A" w:rsidRPr="009B0F6E">
        <w:rPr>
          <w:rFonts w:ascii="Calibri" w:hAnsi="Calibri" w:cs="Calibri"/>
          <w:sz w:val="22"/>
          <w:szCs w:val="22"/>
          <w:lang w:val="en-US"/>
        </w:rPr>
        <w:t xml:space="preserve"> </w:t>
      </w:r>
      <w:hyperlink r:id="rId9" w:history="1">
        <w:r w:rsidR="000C6287" w:rsidRPr="009B0F6E">
          <w:rPr>
            <w:rStyle w:val="Hyperlink"/>
            <w:rFonts w:ascii="Calibri" w:hAnsi="Calibri" w:cs="Calibri"/>
            <w:sz w:val="22"/>
            <w:szCs w:val="22"/>
            <w:lang w:val="en-US"/>
          </w:rPr>
          <w:t>[PubMed]</w:t>
        </w:r>
      </w:hyperlink>
    </w:p>
    <w:p w14:paraId="304836E9" w14:textId="7CD67531"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Blackshear JL, Odell JA. Appendage obliteration to reduce stroke in cardiac surgical patients with atrial fibrillation. </w:t>
      </w:r>
      <w:r w:rsidRPr="009B0F6E">
        <w:rPr>
          <w:rFonts w:ascii="Calibri" w:hAnsi="Calibri" w:cs="Calibri"/>
          <w:i/>
          <w:iCs/>
          <w:sz w:val="22"/>
          <w:szCs w:val="22"/>
          <w:lang w:val="en-US"/>
        </w:rPr>
        <w:t>Ann Thorac Surg</w:t>
      </w:r>
      <w:r w:rsidRPr="009B0F6E">
        <w:rPr>
          <w:rFonts w:ascii="Calibri" w:hAnsi="Calibri" w:cs="Calibri"/>
          <w:sz w:val="22"/>
          <w:szCs w:val="22"/>
          <w:lang w:val="en-US"/>
        </w:rPr>
        <w:t>. 1996</w:t>
      </w:r>
      <w:proofErr w:type="gramStart"/>
      <w:r w:rsidRPr="009B0F6E">
        <w:rPr>
          <w:rFonts w:ascii="Calibri" w:hAnsi="Calibri" w:cs="Calibri"/>
          <w:sz w:val="22"/>
          <w:szCs w:val="22"/>
          <w:lang w:val="en-US"/>
        </w:rPr>
        <w:t>;61</w:t>
      </w:r>
      <w:proofErr w:type="gramEnd"/>
      <w:r w:rsidRPr="009B0F6E">
        <w:rPr>
          <w:rFonts w:ascii="Calibri" w:hAnsi="Calibri" w:cs="Calibri"/>
          <w:sz w:val="22"/>
          <w:szCs w:val="22"/>
          <w:lang w:val="en-US"/>
        </w:rPr>
        <w:t>(2):755</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759. </w:t>
      </w:r>
      <w:hyperlink r:id="rId10" w:history="1">
        <w:r w:rsidRPr="009B0F6E">
          <w:rPr>
            <w:rStyle w:val="Hyperlink"/>
            <w:rFonts w:ascii="Calibri" w:hAnsi="Calibri" w:cs="Calibri"/>
            <w:sz w:val="22"/>
            <w:szCs w:val="22"/>
            <w:lang w:val="en-US"/>
          </w:rPr>
          <w:t>[CrossRef]</w:t>
        </w:r>
      </w:hyperlink>
      <w:r w:rsidR="00A26FBD" w:rsidRPr="009B0F6E">
        <w:rPr>
          <w:rFonts w:ascii="Calibri" w:hAnsi="Calibri" w:cs="Calibri"/>
          <w:sz w:val="22"/>
          <w:szCs w:val="22"/>
          <w:lang w:val="en-US"/>
        </w:rPr>
        <w:t xml:space="preserve"> </w:t>
      </w:r>
      <w:hyperlink r:id="rId11" w:history="1">
        <w:r w:rsidR="000C6287" w:rsidRPr="009B0F6E">
          <w:rPr>
            <w:rStyle w:val="Hyperlink"/>
            <w:rFonts w:ascii="Calibri" w:hAnsi="Calibri" w:cs="Calibri"/>
            <w:sz w:val="22"/>
            <w:szCs w:val="22"/>
            <w:lang w:val="en-US"/>
          </w:rPr>
          <w:t>[PubMed]</w:t>
        </w:r>
      </w:hyperlink>
    </w:p>
    <w:p w14:paraId="304836EA" w14:textId="747E5CFC"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Van Gelder IC, Rienstra M, Bunting KV, et al. 2024 ESC Guidelines for the management of atrial fibrillation developed in collaboration with the European Association for Cardio-Thoracic Surgery (EACTS): </w:t>
      </w:r>
      <w:r w:rsidR="00851F02" w:rsidRPr="009B0F6E">
        <w:rPr>
          <w:rFonts w:ascii="Calibri" w:hAnsi="Calibri" w:cs="Calibri"/>
          <w:sz w:val="22"/>
          <w:szCs w:val="22"/>
          <w:lang w:val="en-US"/>
        </w:rPr>
        <w:t>d</w:t>
      </w:r>
      <w:r w:rsidRPr="009B0F6E">
        <w:rPr>
          <w:rFonts w:ascii="Calibri" w:hAnsi="Calibri" w:cs="Calibri"/>
          <w:sz w:val="22"/>
          <w:szCs w:val="22"/>
          <w:lang w:val="en-US"/>
        </w:rPr>
        <w:t xml:space="preserve">eveloped by the task force for the management of atrial fibrillation of the European Society of Cardiology (ESC), with the special contribution of the European Heart Rhythm Association (EHRA) of the ESC. </w:t>
      </w:r>
      <w:r w:rsidRPr="001E0E29">
        <w:rPr>
          <w:rFonts w:ascii="Calibri" w:hAnsi="Calibri" w:cs="Calibri"/>
          <w:i/>
          <w:sz w:val="22"/>
          <w:szCs w:val="22"/>
          <w:lang w:val="en-US"/>
        </w:rPr>
        <w:t>Endorsed by the European Stroke Organisation (ESO)</w:t>
      </w:r>
      <w:r w:rsidRPr="009B0F6E">
        <w:rPr>
          <w:rFonts w:ascii="Calibri" w:hAnsi="Calibri" w:cs="Calibri"/>
          <w:sz w:val="22"/>
          <w:szCs w:val="22"/>
          <w:lang w:val="en-US"/>
        </w:rPr>
        <w:t xml:space="preserve">. </w:t>
      </w:r>
      <w:r w:rsidRPr="009B0F6E">
        <w:rPr>
          <w:rFonts w:ascii="Calibri" w:hAnsi="Calibri" w:cs="Calibri"/>
          <w:i/>
          <w:iCs/>
          <w:sz w:val="22"/>
          <w:szCs w:val="22"/>
          <w:lang w:val="en-US"/>
        </w:rPr>
        <w:t>Eur Heart J</w:t>
      </w:r>
      <w:r w:rsidRPr="009B0F6E">
        <w:rPr>
          <w:rFonts w:ascii="Calibri" w:hAnsi="Calibri" w:cs="Calibri"/>
          <w:sz w:val="22"/>
          <w:szCs w:val="22"/>
          <w:lang w:val="en-US"/>
        </w:rPr>
        <w:t>. 2024</w:t>
      </w:r>
      <w:proofErr w:type="gramStart"/>
      <w:r w:rsidRPr="009B0F6E">
        <w:rPr>
          <w:rFonts w:ascii="Calibri" w:hAnsi="Calibri" w:cs="Calibri"/>
          <w:sz w:val="22"/>
          <w:szCs w:val="22"/>
          <w:lang w:val="en-US"/>
        </w:rPr>
        <w:t>;45</w:t>
      </w:r>
      <w:proofErr w:type="gramEnd"/>
      <w:r w:rsidRPr="009B0F6E">
        <w:rPr>
          <w:rFonts w:ascii="Calibri" w:hAnsi="Calibri" w:cs="Calibri"/>
          <w:sz w:val="22"/>
          <w:szCs w:val="22"/>
          <w:lang w:val="en-US"/>
        </w:rPr>
        <w:t>(36):3314</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3414. </w:t>
      </w:r>
      <w:hyperlink r:id="rId12" w:history="1">
        <w:r w:rsidRPr="009B0F6E">
          <w:rPr>
            <w:rStyle w:val="Hyperlink"/>
            <w:rFonts w:ascii="Calibri" w:hAnsi="Calibri" w:cs="Calibri"/>
            <w:sz w:val="22"/>
            <w:szCs w:val="22"/>
            <w:lang w:val="en-US"/>
          </w:rPr>
          <w:t>[CrossRef]</w:t>
        </w:r>
      </w:hyperlink>
      <w:r w:rsidR="00851F02" w:rsidRPr="009B0F6E">
        <w:rPr>
          <w:rFonts w:ascii="Calibri" w:hAnsi="Calibri" w:cs="Calibri"/>
          <w:sz w:val="22"/>
          <w:szCs w:val="22"/>
          <w:lang w:val="en-US"/>
        </w:rPr>
        <w:t xml:space="preserve"> </w:t>
      </w:r>
      <w:hyperlink r:id="rId13" w:history="1">
        <w:r w:rsidR="000C6287" w:rsidRPr="009B0F6E">
          <w:rPr>
            <w:rStyle w:val="Hyperlink"/>
            <w:rFonts w:ascii="Calibri" w:hAnsi="Calibri" w:cs="Calibri"/>
            <w:sz w:val="22"/>
            <w:szCs w:val="22"/>
            <w:lang w:val="en-US"/>
          </w:rPr>
          <w:t>[PubMed]</w:t>
        </w:r>
      </w:hyperlink>
    </w:p>
    <w:p w14:paraId="304836EB" w14:textId="5B5614B5"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Joglar JA, Chung MK, Armbruster AL, et al. 2023 ACC/AHA/ACCP/HRS Guideline for the </w:t>
      </w:r>
      <w:r w:rsidR="00F655DB" w:rsidRPr="009B0F6E">
        <w:rPr>
          <w:rFonts w:ascii="Calibri" w:hAnsi="Calibri" w:cs="Calibri"/>
          <w:sz w:val="22"/>
          <w:szCs w:val="22"/>
          <w:lang w:val="en-US"/>
        </w:rPr>
        <w:t>d</w:t>
      </w:r>
      <w:r w:rsidRPr="009B0F6E">
        <w:rPr>
          <w:rFonts w:ascii="Calibri" w:hAnsi="Calibri" w:cs="Calibri"/>
          <w:sz w:val="22"/>
          <w:szCs w:val="22"/>
          <w:lang w:val="en-US"/>
        </w:rPr>
        <w:t xml:space="preserve">iagnosis and </w:t>
      </w:r>
      <w:r w:rsidR="00F655DB" w:rsidRPr="009B0F6E">
        <w:rPr>
          <w:rFonts w:ascii="Calibri" w:hAnsi="Calibri" w:cs="Calibri"/>
          <w:sz w:val="22"/>
          <w:szCs w:val="22"/>
          <w:lang w:val="en-US"/>
        </w:rPr>
        <w:t>m</w:t>
      </w:r>
      <w:r w:rsidRPr="009B0F6E">
        <w:rPr>
          <w:rFonts w:ascii="Calibri" w:hAnsi="Calibri" w:cs="Calibri"/>
          <w:sz w:val="22"/>
          <w:szCs w:val="22"/>
          <w:lang w:val="en-US"/>
        </w:rPr>
        <w:t xml:space="preserve">anagement of </w:t>
      </w:r>
      <w:r w:rsidR="00F655DB" w:rsidRPr="009B0F6E">
        <w:rPr>
          <w:rFonts w:ascii="Calibri" w:hAnsi="Calibri" w:cs="Calibri"/>
          <w:sz w:val="22"/>
          <w:szCs w:val="22"/>
          <w:lang w:val="en-US"/>
        </w:rPr>
        <w:t>a</w:t>
      </w:r>
      <w:r w:rsidRPr="009B0F6E">
        <w:rPr>
          <w:rFonts w:ascii="Calibri" w:hAnsi="Calibri" w:cs="Calibri"/>
          <w:sz w:val="22"/>
          <w:szCs w:val="22"/>
          <w:lang w:val="en-US"/>
        </w:rPr>
        <w:t xml:space="preserve">trial </w:t>
      </w:r>
      <w:r w:rsidR="00F655DB" w:rsidRPr="009B0F6E">
        <w:rPr>
          <w:rFonts w:ascii="Calibri" w:hAnsi="Calibri" w:cs="Calibri"/>
          <w:sz w:val="22"/>
          <w:szCs w:val="22"/>
          <w:lang w:val="en-US"/>
        </w:rPr>
        <w:t>f</w:t>
      </w:r>
      <w:r w:rsidRPr="009B0F6E">
        <w:rPr>
          <w:rFonts w:ascii="Calibri" w:hAnsi="Calibri" w:cs="Calibri"/>
          <w:sz w:val="22"/>
          <w:szCs w:val="22"/>
          <w:lang w:val="en-US"/>
        </w:rPr>
        <w:t xml:space="preserve">ibrillation: </w:t>
      </w:r>
      <w:r w:rsidR="00F655DB" w:rsidRPr="009B0F6E">
        <w:rPr>
          <w:rFonts w:ascii="Calibri" w:hAnsi="Calibri" w:cs="Calibri"/>
          <w:sz w:val="22"/>
          <w:szCs w:val="22"/>
          <w:lang w:val="en-US"/>
        </w:rPr>
        <w:t>a</w:t>
      </w:r>
      <w:r w:rsidRPr="009B0F6E">
        <w:rPr>
          <w:rFonts w:ascii="Calibri" w:hAnsi="Calibri" w:cs="Calibri"/>
          <w:sz w:val="22"/>
          <w:szCs w:val="22"/>
          <w:lang w:val="en-US"/>
        </w:rPr>
        <w:t xml:space="preserve"> </w:t>
      </w:r>
      <w:r w:rsidR="00F655DB" w:rsidRPr="009B0F6E">
        <w:rPr>
          <w:rFonts w:ascii="Calibri" w:hAnsi="Calibri" w:cs="Calibri"/>
          <w:sz w:val="22"/>
          <w:szCs w:val="22"/>
          <w:lang w:val="en-US"/>
        </w:rPr>
        <w:t>r</w:t>
      </w:r>
      <w:r w:rsidRPr="009B0F6E">
        <w:rPr>
          <w:rFonts w:ascii="Calibri" w:hAnsi="Calibri" w:cs="Calibri"/>
          <w:sz w:val="22"/>
          <w:szCs w:val="22"/>
          <w:lang w:val="en-US"/>
        </w:rPr>
        <w:t xml:space="preserve">eport of the American College of Cardiology/American Heart Association Joint Committee on Clinical Practice Guidelines. </w:t>
      </w:r>
      <w:r w:rsidRPr="009B0F6E">
        <w:rPr>
          <w:rFonts w:ascii="Calibri" w:hAnsi="Calibri" w:cs="Calibri"/>
          <w:i/>
          <w:iCs/>
          <w:sz w:val="22"/>
          <w:szCs w:val="22"/>
          <w:lang w:val="en-US"/>
        </w:rPr>
        <w:t>Circulation</w:t>
      </w:r>
      <w:r w:rsidRPr="009B0F6E">
        <w:rPr>
          <w:rFonts w:ascii="Calibri" w:hAnsi="Calibri" w:cs="Calibri"/>
          <w:sz w:val="22"/>
          <w:szCs w:val="22"/>
          <w:lang w:val="en-US"/>
        </w:rPr>
        <w:t>. 2024</w:t>
      </w:r>
      <w:proofErr w:type="gramStart"/>
      <w:r w:rsidRPr="009B0F6E">
        <w:rPr>
          <w:rFonts w:ascii="Calibri" w:hAnsi="Calibri" w:cs="Calibri"/>
          <w:sz w:val="22"/>
          <w:szCs w:val="22"/>
          <w:lang w:val="en-US"/>
        </w:rPr>
        <w:t>;149</w:t>
      </w:r>
      <w:proofErr w:type="gramEnd"/>
      <w:r w:rsidRPr="009B0F6E">
        <w:rPr>
          <w:rFonts w:ascii="Calibri" w:hAnsi="Calibri" w:cs="Calibri"/>
          <w:sz w:val="22"/>
          <w:szCs w:val="22"/>
          <w:lang w:val="en-US"/>
        </w:rPr>
        <w:t xml:space="preserve">(1):e1-e156. </w:t>
      </w:r>
      <w:hyperlink r:id="rId14" w:history="1">
        <w:r w:rsidRPr="009B0F6E">
          <w:rPr>
            <w:rStyle w:val="Hyperlink"/>
            <w:rFonts w:ascii="Calibri" w:hAnsi="Calibri" w:cs="Calibri"/>
            <w:sz w:val="22"/>
            <w:szCs w:val="22"/>
            <w:lang w:val="en-US"/>
          </w:rPr>
          <w:t>[CrossRef]</w:t>
        </w:r>
      </w:hyperlink>
      <w:r w:rsidR="00824DBD" w:rsidRPr="009B0F6E">
        <w:rPr>
          <w:rFonts w:ascii="Calibri" w:hAnsi="Calibri" w:cs="Calibri"/>
          <w:sz w:val="22"/>
          <w:szCs w:val="22"/>
          <w:lang w:val="en-US"/>
        </w:rPr>
        <w:t xml:space="preserve"> </w:t>
      </w:r>
      <w:hyperlink r:id="rId15" w:history="1">
        <w:r w:rsidR="000C6287" w:rsidRPr="009B0F6E">
          <w:rPr>
            <w:rStyle w:val="Hyperlink"/>
            <w:rFonts w:ascii="Calibri" w:hAnsi="Calibri" w:cs="Calibri"/>
            <w:sz w:val="22"/>
            <w:szCs w:val="22"/>
            <w:lang w:val="en-US"/>
          </w:rPr>
          <w:t>[PubMed]</w:t>
        </w:r>
      </w:hyperlink>
    </w:p>
    <w:p w14:paraId="304836EC" w14:textId="179C9A86"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Saw J, Holmes DR, Cavalcante JL, et al. SCAI/HRS </w:t>
      </w:r>
      <w:r w:rsidR="00E379BD" w:rsidRPr="009B0F6E">
        <w:rPr>
          <w:rFonts w:ascii="Calibri" w:hAnsi="Calibri" w:cs="Calibri"/>
          <w:sz w:val="22"/>
          <w:szCs w:val="22"/>
          <w:lang w:val="en-US"/>
        </w:rPr>
        <w:t>expert consensus statement on transcatheter left atrial appendage cl</w:t>
      </w:r>
      <w:r w:rsidRPr="009B0F6E">
        <w:rPr>
          <w:rFonts w:ascii="Calibri" w:hAnsi="Calibri" w:cs="Calibri"/>
          <w:sz w:val="22"/>
          <w:szCs w:val="22"/>
          <w:lang w:val="en-US"/>
        </w:rPr>
        <w:t xml:space="preserve">osure. </w:t>
      </w:r>
      <w:r w:rsidRPr="009B0F6E">
        <w:rPr>
          <w:rFonts w:ascii="Calibri" w:hAnsi="Calibri" w:cs="Calibri"/>
          <w:i/>
          <w:iCs/>
          <w:sz w:val="22"/>
          <w:szCs w:val="22"/>
          <w:lang w:val="en-US"/>
        </w:rPr>
        <w:t>J Soc Cardiovasc Angiogr Interv</w:t>
      </w:r>
      <w:r w:rsidRPr="009B0F6E">
        <w:rPr>
          <w:rFonts w:ascii="Calibri" w:hAnsi="Calibri" w:cs="Calibri"/>
          <w:sz w:val="22"/>
          <w:szCs w:val="22"/>
          <w:lang w:val="en-US"/>
        </w:rPr>
        <w:t>. 2023</w:t>
      </w:r>
      <w:proofErr w:type="gramStart"/>
      <w:r w:rsidRPr="009B0F6E">
        <w:rPr>
          <w:rFonts w:ascii="Calibri" w:hAnsi="Calibri" w:cs="Calibri"/>
          <w:sz w:val="22"/>
          <w:szCs w:val="22"/>
          <w:lang w:val="en-US"/>
        </w:rPr>
        <w:t>;2</w:t>
      </w:r>
      <w:proofErr w:type="gramEnd"/>
      <w:r w:rsidRPr="009B0F6E">
        <w:rPr>
          <w:rFonts w:ascii="Calibri" w:hAnsi="Calibri" w:cs="Calibri"/>
          <w:sz w:val="22"/>
          <w:szCs w:val="22"/>
          <w:lang w:val="en-US"/>
        </w:rPr>
        <w:t>(3)</w:t>
      </w:r>
      <w:r w:rsidR="00E379BD" w:rsidRPr="009B0F6E">
        <w:rPr>
          <w:rFonts w:ascii="Calibri" w:hAnsi="Calibri" w:cs="Calibri"/>
          <w:sz w:val="22"/>
          <w:szCs w:val="22"/>
          <w:lang w:val="en-US"/>
        </w:rPr>
        <w:t>:100577</w:t>
      </w:r>
      <w:r w:rsidRPr="009B0F6E">
        <w:rPr>
          <w:rFonts w:ascii="Calibri" w:hAnsi="Calibri" w:cs="Calibri"/>
          <w:sz w:val="22"/>
          <w:szCs w:val="22"/>
          <w:lang w:val="en-US"/>
        </w:rPr>
        <w:t xml:space="preserve">. </w:t>
      </w:r>
      <w:hyperlink r:id="rId16" w:history="1">
        <w:r w:rsidRPr="009B0F6E">
          <w:rPr>
            <w:rStyle w:val="Hyperlink"/>
            <w:rFonts w:ascii="Calibri" w:hAnsi="Calibri" w:cs="Calibri"/>
            <w:sz w:val="22"/>
            <w:szCs w:val="22"/>
            <w:lang w:val="en-US"/>
          </w:rPr>
          <w:t>[CrossRef]</w:t>
        </w:r>
      </w:hyperlink>
    </w:p>
    <w:p w14:paraId="304836ED" w14:textId="7793B3E5"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Madden JL. Resection of the left auricular appendix; a prophylaxis for recurrent arterial emboli. </w:t>
      </w:r>
      <w:r w:rsidRPr="009B0F6E">
        <w:rPr>
          <w:rFonts w:ascii="Calibri" w:hAnsi="Calibri" w:cs="Calibri"/>
          <w:i/>
          <w:iCs/>
          <w:sz w:val="22"/>
          <w:szCs w:val="22"/>
          <w:lang w:val="en-US"/>
        </w:rPr>
        <w:t>J Am Med Assoc</w:t>
      </w:r>
      <w:r w:rsidRPr="009B0F6E">
        <w:rPr>
          <w:rFonts w:ascii="Calibri" w:hAnsi="Calibri" w:cs="Calibri"/>
          <w:sz w:val="22"/>
          <w:szCs w:val="22"/>
          <w:lang w:val="en-US"/>
        </w:rPr>
        <w:t>. 1949</w:t>
      </w:r>
      <w:proofErr w:type="gramStart"/>
      <w:r w:rsidRPr="009B0F6E">
        <w:rPr>
          <w:rFonts w:ascii="Calibri" w:hAnsi="Calibri" w:cs="Calibri"/>
          <w:sz w:val="22"/>
          <w:szCs w:val="22"/>
          <w:lang w:val="en-US"/>
        </w:rPr>
        <w:t>;140</w:t>
      </w:r>
      <w:proofErr w:type="gramEnd"/>
      <w:r w:rsidRPr="009B0F6E">
        <w:rPr>
          <w:rFonts w:ascii="Calibri" w:hAnsi="Calibri" w:cs="Calibri"/>
          <w:sz w:val="22"/>
          <w:szCs w:val="22"/>
          <w:lang w:val="en-US"/>
        </w:rPr>
        <w:t>(9):769</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772. </w:t>
      </w:r>
      <w:hyperlink r:id="rId17" w:history="1">
        <w:r w:rsidRPr="009B0F6E">
          <w:rPr>
            <w:rStyle w:val="Hyperlink"/>
            <w:rFonts w:ascii="Calibri" w:hAnsi="Calibri" w:cs="Calibri"/>
            <w:sz w:val="22"/>
            <w:szCs w:val="22"/>
            <w:lang w:val="en-US"/>
          </w:rPr>
          <w:t>[CrossRef]</w:t>
        </w:r>
      </w:hyperlink>
      <w:r w:rsidR="005C78C9" w:rsidRPr="009B0F6E">
        <w:rPr>
          <w:rFonts w:ascii="Calibri" w:hAnsi="Calibri" w:cs="Calibri"/>
          <w:sz w:val="22"/>
          <w:szCs w:val="22"/>
          <w:lang w:val="en-US"/>
        </w:rPr>
        <w:t xml:space="preserve"> </w:t>
      </w:r>
      <w:hyperlink r:id="rId18" w:history="1">
        <w:r w:rsidR="000C6287" w:rsidRPr="009B0F6E">
          <w:rPr>
            <w:rStyle w:val="Hyperlink"/>
            <w:rFonts w:ascii="Calibri" w:hAnsi="Calibri" w:cs="Calibri"/>
            <w:sz w:val="22"/>
            <w:szCs w:val="22"/>
            <w:lang w:val="en-US"/>
          </w:rPr>
          <w:t>[PubMed]</w:t>
        </w:r>
      </w:hyperlink>
    </w:p>
    <w:p w14:paraId="304836EE" w14:textId="73DD71A3"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Johnson WD, Ganjoo AK, Stone CD, Srivyas RC, Howard M. The left atrial appendage: our most lethal human attachment! Surgical implications. </w:t>
      </w:r>
      <w:r w:rsidRPr="009B0F6E">
        <w:rPr>
          <w:rFonts w:ascii="Calibri" w:hAnsi="Calibri" w:cs="Calibri"/>
          <w:i/>
          <w:iCs/>
          <w:sz w:val="22"/>
          <w:szCs w:val="22"/>
          <w:lang w:val="en-US"/>
        </w:rPr>
        <w:t>Eur J Cardio</w:t>
      </w:r>
      <w:r w:rsidR="004F3C3D" w:rsidRPr="009B0F6E">
        <w:rPr>
          <w:rFonts w:ascii="Calibri" w:hAnsi="Calibri" w:cs="Calibri"/>
          <w:i/>
          <w:iCs/>
          <w:sz w:val="22"/>
          <w:szCs w:val="22"/>
          <w:lang w:val="en-US"/>
        </w:rPr>
        <w:t>t</w:t>
      </w:r>
      <w:r w:rsidRPr="009B0F6E">
        <w:rPr>
          <w:rFonts w:ascii="Calibri" w:hAnsi="Calibri" w:cs="Calibri"/>
          <w:i/>
          <w:iCs/>
          <w:sz w:val="22"/>
          <w:szCs w:val="22"/>
          <w:lang w:val="en-US"/>
        </w:rPr>
        <w:t>horac Surg</w:t>
      </w:r>
      <w:r w:rsidRPr="009B0F6E">
        <w:rPr>
          <w:rFonts w:ascii="Calibri" w:hAnsi="Calibri" w:cs="Calibri"/>
          <w:sz w:val="22"/>
          <w:szCs w:val="22"/>
          <w:lang w:val="en-US"/>
        </w:rPr>
        <w:t>. 2000</w:t>
      </w:r>
      <w:proofErr w:type="gramStart"/>
      <w:r w:rsidRPr="009B0F6E">
        <w:rPr>
          <w:rFonts w:ascii="Calibri" w:hAnsi="Calibri" w:cs="Calibri"/>
          <w:sz w:val="22"/>
          <w:szCs w:val="22"/>
          <w:lang w:val="en-US"/>
        </w:rPr>
        <w:t>;17</w:t>
      </w:r>
      <w:proofErr w:type="gramEnd"/>
      <w:r w:rsidRPr="009B0F6E">
        <w:rPr>
          <w:rFonts w:ascii="Calibri" w:hAnsi="Calibri" w:cs="Calibri"/>
          <w:sz w:val="22"/>
          <w:szCs w:val="22"/>
          <w:lang w:val="en-US"/>
        </w:rPr>
        <w:t>(6):718</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722. </w:t>
      </w:r>
      <w:hyperlink r:id="rId19" w:history="1">
        <w:r w:rsidRPr="009B0F6E">
          <w:rPr>
            <w:rStyle w:val="Hyperlink"/>
            <w:rFonts w:ascii="Calibri" w:hAnsi="Calibri" w:cs="Calibri"/>
            <w:sz w:val="22"/>
            <w:szCs w:val="22"/>
            <w:lang w:val="en-US"/>
          </w:rPr>
          <w:t>[CrossRef]</w:t>
        </w:r>
      </w:hyperlink>
      <w:r w:rsidR="004F3C3D" w:rsidRPr="009B0F6E">
        <w:rPr>
          <w:rFonts w:ascii="Calibri" w:hAnsi="Calibri" w:cs="Calibri"/>
          <w:sz w:val="22"/>
          <w:szCs w:val="22"/>
          <w:lang w:val="en-US"/>
        </w:rPr>
        <w:t xml:space="preserve"> </w:t>
      </w:r>
      <w:hyperlink r:id="rId20" w:history="1">
        <w:r w:rsidR="000C6287" w:rsidRPr="009B0F6E">
          <w:rPr>
            <w:rStyle w:val="Hyperlink"/>
            <w:rFonts w:ascii="Calibri" w:hAnsi="Calibri" w:cs="Calibri"/>
            <w:sz w:val="22"/>
            <w:szCs w:val="22"/>
            <w:lang w:val="en-US"/>
          </w:rPr>
          <w:t>[PubMed]</w:t>
        </w:r>
      </w:hyperlink>
    </w:p>
    <w:p w14:paraId="304836EF" w14:textId="23B14F99"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Cresti A, García-Fernández MA, Sievert H, et al. Prevalence of extra-appendage thrombosis in non-valvular atrial fibrillation and atrial flutter in patients undergoing cardioversion: a large transoesophageal echo study. </w:t>
      </w:r>
      <w:r w:rsidRPr="009B0F6E">
        <w:rPr>
          <w:rFonts w:ascii="Calibri" w:hAnsi="Calibri" w:cs="Calibri"/>
          <w:i/>
          <w:iCs/>
          <w:sz w:val="22"/>
          <w:szCs w:val="22"/>
          <w:lang w:val="en-US"/>
        </w:rPr>
        <w:t>EuroIntervention</w:t>
      </w:r>
      <w:r w:rsidRPr="009B0F6E">
        <w:rPr>
          <w:rFonts w:ascii="Calibri" w:hAnsi="Calibri" w:cs="Calibri"/>
          <w:sz w:val="22"/>
          <w:szCs w:val="22"/>
          <w:lang w:val="en-US"/>
        </w:rPr>
        <w:t>. 2019</w:t>
      </w:r>
      <w:proofErr w:type="gramStart"/>
      <w:r w:rsidRPr="009B0F6E">
        <w:rPr>
          <w:rFonts w:ascii="Calibri" w:hAnsi="Calibri" w:cs="Calibri"/>
          <w:sz w:val="22"/>
          <w:szCs w:val="22"/>
          <w:lang w:val="en-US"/>
        </w:rPr>
        <w:t>;15</w:t>
      </w:r>
      <w:proofErr w:type="gramEnd"/>
      <w:r w:rsidRPr="009B0F6E">
        <w:rPr>
          <w:rFonts w:ascii="Calibri" w:hAnsi="Calibri" w:cs="Calibri"/>
          <w:sz w:val="22"/>
          <w:szCs w:val="22"/>
          <w:lang w:val="en-US"/>
        </w:rPr>
        <w:t xml:space="preserve">(3):e225-e230. </w:t>
      </w:r>
      <w:hyperlink r:id="rId21" w:history="1">
        <w:r w:rsidRPr="009B0F6E">
          <w:rPr>
            <w:rStyle w:val="Hyperlink"/>
            <w:rFonts w:ascii="Calibri" w:hAnsi="Calibri" w:cs="Calibri"/>
            <w:sz w:val="22"/>
            <w:szCs w:val="22"/>
            <w:lang w:val="en-US"/>
          </w:rPr>
          <w:t>[CrossRef]</w:t>
        </w:r>
      </w:hyperlink>
      <w:r w:rsidR="003108BA" w:rsidRPr="009B0F6E">
        <w:rPr>
          <w:rFonts w:ascii="Calibri" w:hAnsi="Calibri" w:cs="Calibri"/>
          <w:sz w:val="22"/>
          <w:szCs w:val="22"/>
          <w:lang w:val="en-US"/>
        </w:rPr>
        <w:t xml:space="preserve"> </w:t>
      </w:r>
      <w:hyperlink r:id="rId22" w:history="1">
        <w:r w:rsidR="000C6287" w:rsidRPr="009B0F6E">
          <w:rPr>
            <w:rStyle w:val="Hyperlink"/>
            <w:rFonts w:ascii="Calibri" w:hAnsi="Calibri" w:cs="Calibri"/>
            <w:sz w:val="22"/>
            <w:szCs w:val="22"/>
            <w:lang w:val="en-US"/>
          </w:rPr>
          <w:t>[PubMed]</w:t>
        </w:r>
      </w:hyperlink>
    </w:p>
    <w:p w14:paraId="304836F0" w14:textId="09342FDB"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Crystal E, Lamy A, </w:t>
      </w:r>
      <w:proofErr w:type="gramStart"/>
      <w:r w:rsidRPr="009B0F6E">
        <w:rPr>
          <w:rFonts w:ascii="Calibri" w:hAnsi="Calibri" w:cs="Calibri"/>
          <w:sz w:val="22"/>
          <w:szCs w:val="22"/>
          <w:lang w:val="en-US"/>
        </w:rPr>
        <w:t>Connolly</w:t>
      </w:r>
      <w:proofErr w:type="gramEnd"/>
      <w:r w:rsidRPr="009B0F6E">
        <w:rPr>
          <w:rFonts w:ascii="Calibri" w:hAnsi="Calibri" w:cs="Calibri"/>
          <w:sz w:val="22"/>
          <w:szCs w:val="22"/>
          <w:lang w:val="en-US"/>
        </w:rPr>
        <w:t xml:space="preserve"> SJ, et al. Left Atrial Appendage Occlusion Study (LAAOS): a randomized clinical trial of left atrial appendage occlusion during routine coronary artery bypass graft surgery for long-term stroke prevention. </w:t>
      </w:r>
      <w:r w:rsidRPr="009B0F6E">
        <w:rPr>
          <w:rFonts w:ascii="Calibri" w:hAnsi="Calibri" w:cs="Calibri"/>
          <w:i/>
          <w:iCs/>
          <w:sz w:val="22"/>
          <w:szCs w:val="22"/>
          <w:lang w:val="en-US"/>
        </w:rPr>
        <w:t>Am Heart J</w:t>
      </w:r>
      <w:r w:rsidRPr="009B0F6E">
        <w:rPr>
          <w:rFonts w:ascii="Calibri" w:hAnsi="Calibri" w:cs="Calibri"/>
          <w:sz w:val="22"/>
          <w:szCs w:val="22"/>
          <w:lang w:val="en-US"/>
        </w:rPr>
        <w:t>. 2003</w:t>
      </w:r>
      <w:proofErr w:type="gramStart"/>
      <w:r w:rsidRPr="009B0F6E">
        <w:rPr>
          <w:rFonts w:ascii="Calibri" w:hAnsi="Calibri" w:cs="Calibri"/>
          <w:sz w:val="22"/>
          <w:szCs w:val="22"/>
          <w:lang w:val="en-US"/>
        </w:rPr>
        <w:t>;145</w:t>
      </w:r>
      <w:proofErr w:type="gramEnd"/>
      <w:r w:rsidRPr="009B0F6E">
        <w:rPr>
          <w:rFonts w:ascii="Calibri" w:hAnsi="Calibri" w:cs="Calibri"/>
          <w:sz w:val="22"/>
          <w:szCs w:val="22"/>
          <w:lang w:val="en-US"/>
        </w:rPr>
        <w:t>(1):174</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178. </w:t>
      </w:r>
      <w:hyperlink r:id="rId23" w:history="1">
        <w:r w:rsidRPr="009B0F6E">
          <w:rPr>
            <w:rStyle w:val="Hyperlink"/>
            <w:rFonts w:ascii="Calibri" w:hAnsi="Calibri" w:cs="Calibri"/>
            <w:sz w:val="22"/>
            <w:szCs w:val="22"/>
            <w:lang w:val="en-US"/>
          </w:rPr>
          <w:t>[CrossRef]</w:t>
        </w:r>
      </w:hyperlink>
      <w:r w:rsidR="003A7F4C" w:rsidRPr="009B0F6E">
        <w:rPr>
          <w:rFonts w:ascii="Calibri" w:hAnsi="Calibri" w:cs="Calibri"/>
          <w:sz w:val="22"/>
          <w:szCs w:val="22"/>
          <w:lang w:val="en-US"/>
        </w:rPr>
        <w:t xml:space="preserve"> </w:t>
      </w:r>
      <w:hyperlink r:id="rId24" w:history="1">
        <w:r w:rsidR="000C6287" w:rsidRPr="009B0F6E">
          <w:rPr>
            <w:rStyle w:val="Hyperlink"/>
            <w:rFonts w:ascii="Calibri" w:hAnsi="Calibri" w:cs="Calibri"/>
            <w:sz w:val="22"/>
            <w:szCs w:val="22"/>
            <w:lang w:val="en-US"/>
          </w:rPr>
          <w:t>[PubMed]</w:t>
        </w:r>
      </w:hyperlink>
    </w:p>
    <w:p w14:paraId="304836F1" w14:textId="0AA5354F"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Whitlock RP, Belley-Cote EP, Paparella D, et al. Left </w:t>
      </w:r>
      <w:r w:rsidR="008C61D7" w:rsidRPr="009B0F6E">
        <w:rPr>
          <w:rFonts w:ascii="Calibri" w:hAnsi="Calibri" w:cs="Calibri"/>
          <w:sz w:val="22"/>
          <w:szCs w:val="22"/>
          <w:lang w:val="en-US"/>
        </w:rPr>
        <w:t>a</w:t>
      </w:r>
      <w:r w:rsidRPr="009B0F6E">
        <w:rPr>
          <w:rFonts w:ascii="Calibri" w:hAnsi="Calibri" w:cs="Calibri"/>
          <w:sz w:val="22"/>
          <w:szCs w:val="22"/>
          <w:lang w:val="en-US"/>
        </w:rPr>
        <w:t xml:space="preserve">trial </w:t>
      </w:r>
      <w:r w:rsidR="008C61D7" w:rsidRPr="009B0F6E">
        <w:rPr>
          <w:rFonts w:ascii="Calibri" w:hAnsi="Calibri" w:cs="Calibri"/>
          <w:sz w:val="22"/>
          <w:szCs w:val="22"/>
          <w:lang w:val="en-US"/>
        </w:rPr>
        <w:t>a</w:t>
      </w:r>
      <w:r w:rsidRPr="009B0F6E">
        <w:rPr>
          <w:rFonts w:ascii="Calibri" w:hAnsi="Calibri" w:cs="Calibri"/>
          <w:sz w:val="22"/>
          <w:szCs w:val="22"/>
          <w:lang w:val="en-US"/>
        </w:rPr>
        <w:t xml:space="preserve">ppendage </w:t>
      </w:r>
      <w:r w:rsidR="008C61D7" w:rsidRPr="009B0F6E">
        <w:rPr>
          <w:rFonts w:ascii="Calibri" w:hAnsi="Calibri" w:cs="Calibri"/>
          <w:sz w:val="22"/>
          <w:szCs w:val="22"/>
          <w:lang w:val="en-US"/>
        </w:rPr>
        <w:t>o</w:t>
      </w:r>
      <w:r w:rsidRPr="009B0F6E">
        <w:rPr>
          <w:rFonts w:ascii="Calibri" w:hAnsi="Calibri" w:cs="Calibri"/>
          <w:sz w:val="22"/>
          <w:szCs w:val="22"/>
          <w:lang w:val="en-US"/>
        </w:rPr>
        <w:t xml:space="preserve">cclusion during </w:t>
      </w:r>
      <w:r w:rsidR="008C61D7" w:rsidRPr="009B0F6E">
        <w:rPr>
          <w:rFonts w:ascii="Calibri" w:hAnsi="Calibri" w:cs="Calibri"/>
          <w:sz w:val="22"/>
          <w:szCs w:val="22"/>
          <w:lang w:val="en-US"/>
        </w:rPr>
        <w:t>c</w:t>
      </w:r>
      <w:r w:rsidRPr="009B0F6E">
        <w:rPr>
          <w:rFonts w:ascii="Calibri" w:hAnsi="Calibri" w:cs="Calibri"/>
          <w:sz w:val="22"/>
          <w:szCs w:val="22"/>
          <w:lang w:val="en-US"/>
        </w:rPr>
        <w:t xml:space="preserve">ardiac </w:t>
      </w:r>
      <w:r w:rsidR="008C61D7" w:rsidRPr="009B0F6E">
        <w:rPr>
          <w:rFonts w:ascii="Calibri" w:hAnsi="Calibri" w:cs="Calibri"/>
          <w:sz w:val="22"/>
          <w:szCs w:val="22"/>
          <w:lang w:val="en-US"/>
        </w:rPr>
        <w:t>s</w:t>
      </w:r>
      <w:r w:rsidRPr="009B0F6E">
        <w:rPr>
          <w:rFonts w:ascii="Calibri" w:hAnsi="Calibri" w:cs="Calibri"/>
          <w:sz w:val="22"/>
          <w:szCs w:val="22"/>
          <w:lang w:val="en-US"/>
        </w:rPr>
        <w:t xml:space="preserve">urgery to </w:t>
      </w:r>
      <w:r w:rsidR="008C61D7" w:rsidRPr="009B0F6E">
        <w:rPr>
          <w:rFonts w:ascii="Calibri" w:hAnsi="Calibri" w:cs="Calibri"/>
          <w:sz w:val="22"/>
          <w:szCs w:val="22"/>
          <w:lang w:val="en-US"/>
        </w:rPr>
        <w:t>p</w:t>
      </w:r>
      <w:r w:rsidRPr="009B0F6E">
        <w:rPr>
          <w:rFonts w:ascii="Calibri" w:hAnsi="Calibri" w:cs="Calibri"/>
          <w:sz w:val="22"/>
          <w:szCs w:val="22"/>
          <w:lang w:val="en-US"/>
        </w:rPr>
        <w:t xml:space="preserve">revent </w:t>
      </w:r>
      <w:r w:rsidR="008C61D7" w:rsidRPr="009B0F6E">
        <w:rPr>
          <w:rFonts w:ascii="Calibri" w:hAnsi="Calibri" w:cs="Calibri"/>
          <w:sz w:val="22"/>
          <w:szCs w:val="22"/>
          <w:lang w:val="en-US"/>
        </w:rPr>
        <w:t>s</w:t>
      </w:r>
      <w:r w:rsidRPr="009B0F6E">
        <w:rPr>
          <w:rFonts w:ascii="Calibri" w:hAnsi="Calibri" w:cs="Calibri"/>
          <w:sz w:val="22"/>
          <w:szCs w:val="22"/>
          <w:lang w:val="en-US"/>
        </w:rPr>
        <w:t xml:space="preserve">troke. </w:t>
      </w:r>
      <w:r w:rsidRPr="009B0F6E">
        <w:rPr>
          <w:rFonts w:ascii="Calibri" w:hAnsi="Calibri" w:cs="Calibri"/>
          <w:i/>
          <w:iCs/>
          <w:sz w:val="22"/>
          <w:szCs w:val="22"/>
          <w:lang w:val="en-US"/>
        </w:rPr>
        <w:t>N Engl J Med</w:t>
      </w:r>
      <w:r w:rsidRPr="009B0F6E">
        <w:rPr>
          <w:rFonts w:ascii="Calibri" w:hAnsi="Calibri" w:cs="Calibri"/>
          <w:sz w:val="22"/>
          <w:szCs w:val="22"/>
          <w:lang w:val="en-US"/>
        </w:rPr>
        <w:t>. 2021</w:t>
      </w:r>
      <w:proofErr w:type="gramStart"/>
      <w:r w:rsidRPr="009B0F6E">
        <w:rPr>
          <w:rFonts w:ascii="Calibri" w:hAnsi="Calibri" w:cs="Calibri"/>
          <w:sz w:val="22"/>
          <w:szCs w:val="22"/>
          <w:lang w:val="en-US"/>
        </w:rPr>
        <w:t>;384</w:t>
      </w:r>
      <w:proofErr w:type="gramEnd"/>
      <w:r w:rsidRPr="009B0F6E">
        <w:rPr>
          <w:rFonts w:ascii="Calibri" w:hAnsi="Calibri" w:cs="Calibri"/>
          <w:sz w:val="22"/>
          <w:szCs w:val="22"/>
          <w:lang w:val="en-US"/>
        </w:rPr>
        <w:t>(22):2081</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2091. </w:t>
      </w:r>
      <w:hyperlink r:id="rId25" w:history="1">
        <w:r w:rsidRPr="009B0F6E">
          <w:rPr>
            <w:rStyle w:val="Hyperlink"/>
            <w:rFonts w:ascii="Calibri" w:hAnsi="Calibri" w:cs="Calibri"/>
            <w:sz w:val="22"/>
            <w:szCs w:val="22"/>
            <w:lang w:val="en-US"/>
          </w:rPr>
          <w:t>[CrossRef]</w:t>
        </w:r>
      </w:hyperlink>
      <w:r w:rsidR="00034715" w:rsidRPr="009B0F6E">
        <w:rPr>
          <w:rFonts w:ascii="Calibri" w:hAnsi="Calibri" w:cs="Calibri"/>
          <w:sz w:val="22"/>
          <w:szCs w:val="22"/>
          <w:lang w:val="en-US"/>
        </w:rPr>
        <w:t xml:space="preserve"> </w:t>
      </w:r>
      <w:hyperlink r:id="rId26" w:history="1">
        <w:r w:rsidR="000C6287" w:rsidRPr="009B0F6E">
          <w:rPr>
            <w:rStyle w:val="Hyperlink"/>
            <w:rFonts w:ascii="Calibri" w:hAnsi="Calibri" w:cs="Calibri"/>
            <w:sz w:val="22"/>
            <w:szCs w:val="22"/>
            <w:lang w:val="en-US"/>
          </w:rPr>
          <w:t>[PubMed]</w:t>
        </w:r>
      </w:hyperlink>
    </w:p>
    <w:p w14:paraId="304836F2" w14:textId="341D5118"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Ostermayer SH, Reisman M, Kramer PH, et al. Percutaneous </w:t>
      </w:r>
      <w:r w:rsidR="008E1C86" w:rsidRPr="009B0F6E">
        <w:rPr>
          <w:rFonts w:ascii="Calibri" w:hAnsi="Calibri" w:cs="Calibri"/>
          <w:sz w:val="22"/>
          <w:szCs w:val="22"/>
          <w:lang w:val="en-US"/>
        </w:rPr>
        <w:t>l</w:t>
      </w:r>
      <w:r w:rsidRPr="009B0F6E">
        <w:rPr>
          <w:rFonts w:ascii="Calibri" w:hAnsi="Calibri" w:cs="Calibri"/>
          <w:sz w:val="22"/>
          <w:szCs w:val="22"/>
          <w:lang w:val="en-US"/>
        </w:rPr>
        <w:t xml:space="preserve">eft </w:t>
      </w:r>
      <w:r w:rsidR="008E1C86" w:rsidRPr="009B0F6E">
        <w:rPr>
          <w:rFonts w:ascii="Calibri" w:hAnsi="Calibri" w:cs="Calibri"/>
          <w:sz w:val="22"/>
          <w:szCs w:val="22"/>
          <w:lang w:val="en-US"/>
        </w:rPr>
        <w:t>a</w:t>
      </w:r>
      <w:r w:rsidRPr="009B0F6E">
        <w:rPr>
          <w:rFonts w:ascii="Calibri" w:hAnsi="Calibri" w:cs="Calibri"/>
          <w:sz w:val="22"/>
          <w:szCs w:val="22"/>
          <w:lang w:val="en-US"/>
        </w:rPr>
        <w:t xml:space="preserve">trial </w:t>
      </w:r>
      <w:r w:rsidR="008E1C86" w:rsidRPr="009B0F6E">
        <w:rPr>
          <w:rFonts w:ascii="Calibri" w:hAnsi="Calibri" w:cs="Calibri"/>
          <w:sz w:val="22"/>
          <w:szCs w:val="22"/>
          <w:lang w:val="en-US"/>
        </w:rPr>
        <w:t>a</w:t>
      </w:r>
      <w:r w:rsidRPr="009B0F6E">
        <w:rPr>
          <w:rFonts w:ascii="Calibri" w:hAnsi="Calibri" w:cs="Calibri"/>
          <w:sz w:val="22"/>
          <w:szCs w:val="22"/>
          <w:lang w:val="en-US"/>
        </w:rPr>
        <w:t xml:space="preserve">ppendage </w:t>
      </w:r>
      <w:r w:rsidR="008E1C86" w:rsidRPr="009B0F6E">
        <w:rPr>
          <w:rFonts w:ascii="Calibri" w:hAnsi="Calibri" w:cs="Calibri"/>
          <w:sz w:val="22"/>
          <w:szCs w:val="22"/>
          <w:lang w:val="en-US"/>
        </w:rPr>
        <w:t>t</w:t>
      </w:r>
      <w:r w:rsidRPr="009B0F6E">
        <w:rPr>
          <w:rFonts w:ascii="Calibri" w:hAnsi="Calibri" w:cs="Calibri"/>
          <w:sz w:val="22"/>
          <w:szCs w:val="22"/>
          <w:lang w:val="en-US"/>
        </w:rPr>
        <w:t xml:space="preserve">ranscatheter </w:t>
      </w:r>
      <w:r w:rsidR="008E1C86" w:rsidRPr="009B0F6E">
        <w:rPr>
          <w:rFonts w:ascii="Calibri" w:hAnsi="Calibri" w:cs="Calibri"/>
          <w:sz w:val="22"/>
          <w:szCs w:val="22"/>
          <w:lang w:val="en-US"/>
        </w:rPr>
        <w:t>o</w:t>
      </w:r>
      <w:r w:rsidRPr="009B0F6E">
        <w:rPr>
          <w:rFonts w:ascii="Calibri" w:hAnsi="Calibri" w:cs="Calibri"/>
          <w:sz w:val="22"/>
          <w:szCs w:val="22"/>
          <w:lang w:val="en-US"/>
        </w:rPr>
        <w:t xml:space="preserve">cclusion (PLAATO </w:t>
      </w:r>
      <w:r w:rsidR="008E1C86" w:rsidRPr="009B0F6E">
        <w:rPr>
          <w:rFonts w:ascii="Calibri" w:hAnsi="Calibri" w:cs="Calibri"/>
          <w:sz w:val="22"/>
          <w:szCs w:val="22"/>
          <w:lang w:val="en-US"/>
        </w:rPr>
        <w:t>s</w:t>
      </w:r>
      <w:r w:rsidRPr="009B0F6E">
        <w:rPr>
          <w:rFonts w:ascii="Calibri" w:hAnsi="Calibri" w:cs="Calibri"/>
          <w:sz w:val="22"/>
          <w:szCs w:val="22"/>
          <w:lang w:val="en-US"/>
        </w:rPr>
        <w:t xml:space="preserve">ystem) to </w:t>
      </w:r>
      <w:r w:rsidR="008E1C86" w:rsidRPr="009B0F6E">
        <w:rPr>
          <w:rFonts w:ascii="Calibri" w:hAnsi="Calibri" w:cs="Calibri"/>
          <w:sz w:val="22"/>
          <w:szCs w:val="22"/>
          <w:lang w:val="en-US"/>
        </w:rPr>
        <w:t>p</w:t>
      </w:r>
      <w:r w:rsidRPr="009B0F6E">
        <w:rPr>
          <w:rFonts w:ascii="Calibri" w:hAnsi="Calibri" w:cs="Calibri"/>
          <w:sz w:val="22"/>
          <w:szCs w:val="22"/>
          <w:lang w:val="en-US"/>
        </w:rPr>
        <w:t xml:space="preserve">revent </w:t>
      </w:r>
      <w:r w:rsidR="008E1C86" w:rsidRPr="009B0F6E">
        <w:rPr>
          <w:rFonts w:ascii="Calibri" w:hAnsi="Calibri" w:cs="Calibri"/>
          <w:sz w:val="22"/>
          <w:szCs w:val="22"/>
          <w:lang w:val="en-US"/>
        </w:rPr>
        <w:t>s</w:t>
      </w:r>
      <w:r w:rsidRPr="009B0F6E">
        <w:rPr>
          <w:rFonts w:ascii="Calibri" w:hAnsi="Calibri" w:cs="Calibri"/>
          <w:sz w:val="22"/>
          <w:szCs w:val="22"/>
          <w:lang w:val="en-US"/>
        </w:rPr>
        <w:t xml:space="preserve">troke in </w:t>
      </w:r>
      <w:r w:rsidR="008E1C86" w:rsidRPr="009B0F6E">
        <w:rPr>
          <w:rFonts w:ascii="Calibri" w:hAnsi="Calibri" w:cs="Calibri"/>
          <w:sz w:val="22"/>
          <w:szCs w:val="22"/>
          <w:lang w:val="en-US"/>
        </w:rPr>
        <w:t>h</w:t>
      </w:r>
      <w:r w:rsidRPr="009B0F6E">
        <w:rPr>
          <w:rFonts w:ascii="Calibri" w:hAnsi="Calibri" w:cs="Calibri"/>
          <w:sz w:val="22"/>
          <w:szCs w:val="22"/>
          <w:lang w:val="en-US"/>
        </w:rPr>
        <w:t>igh-</w:t>
      </w:r>
      <w:r w:rsidR="008E1C86" w:rsidRPr="009B0F6E">
        <w:rPr>
          <w:rFonts w:ascii="Calibri" w:hAnsi="Calibri" w:cs="Calibri"/>
          <w:sz w:val="22"/>
          <w:szCs w:val="22"/>
          <w:lang w:val="en-US"/>
        </w:rPr>
        <w:t>r</w:t>
      </w:r>
      <w:r w:rsidRPr="009B0F6E">
        <w:rPr>
          <w:rFonts w:ascii="Calibri" w:hAnsi="Calibri" w:cs="Calibri"/>
          <w:sz w:val="22"/>
          <w:szCs w:val="22"/>
          <w:lang w:val="en-US"/>
        </w:rPr>
        <w:t xml:space="preserve">isk </w:t>
      </w:r>
      <w:r w:rsidR="008E1C86" w:rsidRPr="009B0F6E">
        <w:rPr>
          <w:rFonts w:ascii="Calibri" w:hAnsi="Calibri" w:cs="Calibri"/>
          <w:sz w:val="22"/>
          <w:szCs w:val="22"/>
          <w:lang w:val="en-US"/>
        </w:rPr>
        <w:t>p</w:t>
      </w:r>
      <w:r w:rsidRPr="009B0F6E">
        <w:rPr>
          <w:rFonts w:ascii="Calibri" w:hAnsi="Calibri" w:cs="Calibri"/>
          <w:sz w:val="22"/>
          <w:szCs w:val="22"/>
          <w:lang w:val="en-US"/>
        </w:rPr>
        <w:t xml:space="preserve">atients </w:t>
      </w:r>
      <w:r w:rsidR="008E1C86" w:rsidRPr="009B0F6E">
        <w:rPr>
          <w:rFonts w:ascii="Calibri" w:hAnsi="Calibri" w:cs="Calibri"/>
          <w:sz w:val="22"/>
          <w:szCs w:val="22"/>
          <w:lang w:val="en-US"/>
        </w:rPr>
        <w:t>w</w:t>
      </w:r>
      <w:r w:rsidRPr="009B0F6E">
        <w:rPr>
          <w:rFonts w:ascii="Calibri" w:hAnsi="Calibri" w:cs="Calibri"/>
          <w:sz w:val="22"/>
          <w:szCs w:val="22"/>
          <w:lang w:val="en-US"/>
        </w:rPr>
        <w:t xml:space="preserve">ith </w:t>
      </w:r>
      <w:r w:rsidR="008E1C86" w:rsidRPr="009B0F6E">
        <w:rPr>
          <w:rFonts w:ascii="Calibri" w:hAnsi="Calibri" w:cs="Calibri"/>
          <w:sz w:val="22"/>
          <w:szCs w:val="22"/>
          <w:lang w:val="en-US"/>
        </w:rPr>
        <w:t>n</w:t>
      </w:r>
      <w:r w:rsidRPr="009B0F6E">
        <w:rPr>
          <w:rFonts w:ascii="Calibri" w:hAnsi="Calibri" w:cs="Calibri"/>
          <w:sz w:val="22"/>
          <w:szCs w:val="22"/>
          <w:lang w:val="en-US"/>
        </w:rPr>
        <w:t>on-</w:t>
      </w:r>
      <w:r w:rsidR="008E1C86" w:rsidRPr="009B0F6E">
        <w:rPr>
          <w:rFonts w:ascii="Calibri" w:hAnsi="Calibri" w:cs="Calibri"/>
          <w:sz w:val="22"/>
          <w:szCs w:val="22"/>
          <w:lang w:val="en-US"/>
        </w:rPr>
        <w:t>r</w:t>
      </w:r>
      <w:r w:rsidRPr="009B0F6E">
        <w:rPr>
          <w:rFonts w:ascii="Calibri" w:hAnsi="Calibri" w:cs="Calibri"/>
          <w:sz w:val="22"/>
          <w:szCs w:val="22"/>
          <w:lang w:val="en-US"/>
        </w:rPr>
        <w:t xml:space="preserve">heumatic </w:t>
      </w:r>
      <w:r w:rsidR="008E1C86" w:rsidRPr="009B0F6E">
        <w:rPr>
          <w:rFonts w:ascii="Calibri" w:hAnsi="Calibri" w:cs="Calibri"/>
          <w:sz w:val="22"/>
          <w:szCs w:val="22"/>
          <w:lang w:val="en-US"/>
        </w:rPr>
        <w:t>a</w:t>
      </w:r>
      <w:r w:rsidRPr="009B0F6E">
        <w:rPr>
          <w:rFonts w:ascii="Calibri" w:hAnsi="Calibri" w:cs="Calibri"/>
          <w:sz w:val="22"/>
          <w:szCs w:val="22"/>
          <w:lang w:val="en-US"/>
        </w:rPr>
        <w:t xml:space="preserve">trial </w:t>
      </w:r>
      <w:r w:rsidR="008E1C86" w:rsidRPr="009B0F6E">
        <w:rPr>
          <w:rFonts w:ascii="Calibri" w:hAnsi="Calibri" w:cs="Calibri"/>
          <w:sz w:val="22"/>
          <w:szCs w:val="22"/>
          <w:lang w:val="en-US"/>
        </w:rPr>
        <w:t>f</w:t>
      </w:r>
      <w:r w:rsidRPr="009B0F6E">
        <w:rPr>
          <w:rFonts w:ascii="Calibri" w:hAnsi="Calibri" w:cs="Calibri"/>
          <w:sz w:val="22"/>
          <w:szCs w:val="22"/>
          <w:lang w:val="en-US"/>
        </w:rPr>
        <w:t>ibrillation</w:t>
      </w:r>
      <w:r w:rsidR="003E16B3" w:rsidRPr="009B0F6E">
        <w:rPr>
          <w:rFonts w:ascii="Calibri" w:hAnsi="Calibri" w:cs="Calibri"/>
          <w:sz w:val="22"/>
          <w:szCs w:val="22"/>
          <w:lang w:val="en-US"/>
        </w:rPr>
        <w:t>: results from the international multi-center feasibility trials</w:t>
      </w:r>
      <w:r w:rsidRPr="009B0F6E">
        <w:rPr>
          <w:rFonts w:ascii="Calibri" w:hAnsi="Calibri" w:cs="Calibri"/>
          <w:sz w:val="22"/>
          <w:szCs w:val="22"/>
          <w:lang w:val="en-US"/>
        </w:rPr>
        <w:t xml:space="preserve">. </w:t>
      </w:r>
      <w:r w:rsidRPr="009B0F6E">
        <w:rPr>
          <w:rFonts w:ascii="Calibri" w:hAnsi="Calibri" w:cs="Calibri"/>
          <w:i/>
          <w:iCs/>
          <w:sz w:val="22"/>
          <w:szCs w:val="22"/>
          <w:lang w:val="en-US"/>
        </w:rPr>
        <w:t>J Am Coll Cardiol</w:t>
      </w:r>
      <w:r w:rsidRPr="009B0F6E">
        <w:rPr>
          <w:rFonts w:ascii="Calibri" w:hAnsi="Calibri" w:cs="Calibri"/>
          <w:sz w:val="22"/>
          <w:szCs w:val="22"/>
          <w:lang w:val="en-US"/>
        </w:rPr>
        <w:t>. 2005</w:t>
      </w:r>
      <w:proofErr w:type="gramStart"/>
      <w:r w:rsidRPr="009B0F6E">
        <w:rPr>
          <w:rFonts w:ascii="Calibri" w:hAnsi="Calibri" w:cs="Calibri"/>
          <w:sz w:val="22"/>
          <w:szCs w:val="22"/>
          <w:lang w:val="en-US"/>
        </w:rPr>
        <w:t>;46</w:t>
      </w:r>
      <w:proofErr w:type="gramEnd"/>
      <w:r w:rsidRPr="009B0F6E">
        <w:rPr>
          <w:rFonts w:ascii="Calibri" w:hAnsi="Calibri" w:cs="Calibri"/>
          <w:sz w:val="22"/>
          <w:szCs w:val="22"/>
          <w:lang w:val="en-US"/>
        </w:rPr>
        <w:t>(1):9</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14. </w:t>
      </w:r>
      <w:hyperlink r:id="rId27" w:history="1">
        <w:r w:rsidRPr="009B0F6E">
          <w:rPr>
            <w:rStyle w:val="Hyperlink"/>
            <w:rFonts w:ascii="Calibri" w:hAnsi="Calibri" w:cs="Calibri"/>
            <w:sz w:val="22"/>
            <w:szCs w:val="22"/>
            <w:lang w:val="en-US"/>
          </w:rPr>
          <w:t>[CrossRef]</w:t>
        </w:r>
      </w:hyperlink>
      <w:r w:rsidR="008E1C86" w:rsidRPr="009B0F6E">
        <w:rPr>
          <w:rFonts w:ascii="Calibri" w:hAnsi="Calibri" w:cs="Calibri"/>
          <w:sz w:val="22"/>
          <w:szCs w:val="22"/>
          <w:lang w:val="en-US"/>
        </w:rPr>
        <w:t xml:space="preserve"> </w:t>
      </w:r>
      <w:hyperlink r:id="rId28" w:history="1">
        <w:r w:rsidR="000C6287" w:rsidRPr="009B0F6E">
          <w:rPr>
            <w:rStyle w:val="Hyperlink"/>
            <w:rFonts w:ascii="Calibri" w:hAnsi="Calibri" w:cs="Calibri"/>
            <w:sz w:val="22"/>
            <w:szCs w:val="22"/>
            <w:lang w:val="en-US"/>
          </w:rPr>
          <w:t>[PubMed]</w:t>
        </w:r>
      </w:hyperlink>
    </w:p>
    <w:p w14:paraId="304836F3" w14:textId="4F3E8FAD"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Sick PB, Schuler G, Hauptmann KE, et al. Initial </w:t>
      </w:r>
      <w:r w:rsidR="00E851FE" w:rsidRPr="009B0F6E">
        <w:rPr>
          <w:rFonts w:ascii="Calibri" w:hAnsi="Calibri" w:cs="Calibri"/>
          <w:sz w:val="22"/>
          <w:szCs w:val="22"/>
          <w:lang w:val="en-US"/>
        </w:rPr>
        <w:t>w</w:t>
      </w:r>
      <w:r w:rsidRPr="009B0F6E">
        <w:rPr>
          <w:rFonts w:ascii="Calibri" w:hAnsi="Calibri" w:cs="Calibri"/>
          <w:sz w:val="22"/>
          <w:szCs w:val="22"/>
          <w:lang w:val="en-US"/>
        </w:rPr>
        <w:t xml:space="preserve">orldwide </w:t>
      </w:r>
      <w:r w:rsidR="00E851FE" w:rsidRPr="009B0F6E">
        <w:rPr>
          <w:rFonts w:ascii="Calibri" w:hAnsi="Calibri" w:cs="Calibri"/>
          <w:sz w:val="22"/>
          <w:szCs w:val="22"/>
          <w:lang w:val="en-US"/>
        </w:rPr>
        <w:t>e</w:t>
      </w:r>
      <w:r w:rsidRPr="009B0F6E">
        <w:rPr>
          <w:rFonts w:ascii="Calibri" w:hAnsi="Calibri" w:cs="Calibri"/>
          <w:sz w:val="22"/>
          <w:szCs w:val="22"/>
          <w:lang w:val="en-US"/>
        </w:rPr>
        <w:t xml:space="preserve">xperience </w:t>
      </w:r>
      <w:r w:rsidR="00E851FE" w:rsidRPr="009B0F6E">
        <w:rPr>
          <w:rFonts w:ascii="Calibri" w:hAnsi="Calibri" w:cs="Calibri"/>
          <w:sz w:val="22"/>
          <w:szCs w:val="22"/>
          <w:lang w:val="en-US"/>
        </w:rPr>
        <w:t>w</w:t>
      </w:r>
      <w:r w:rsidRPr="009B0F6E">
        <w:rPr>
          <w:rFonts w:ascii="Calibri" w:hAnsi="Calibri" w:cs="Calibri"/>
          <w:sz w:val="22"/>
          <w:szCs w:val="22"/>
          <w:lang w:val="en-US"/>
        </w:rPr>
        <w:t xml:space="preserve">ith the WATCHMAN </w:t>
      </w:r>
      <w:r w:rsidR="00E851FE" w:rsidRPr="009B0F6E">
        <w:rPr>
          <w:rFonts w:ascii="Calibri" w:hAnsi="Calibri" w:cs="Calibri"/>
          <w:sz w:val="22"/>
          <w:szCs w:val="22"/>
          <w:lang w:val="en-US"/>
        </w:rPr>
        <w:t>l</w:t>
      </w:r>
      <w:r w:rsidRPr="009B0F6E">
        <w:rPr>
          <w:rFonts w:ascii="Calibri" w:hAnsi="Calibri" w:cs="Calibri"/>
          <w:sz w:val="22"/>
          <w:szCs w:val="22"/>
          <w:lang w:val="en-US"/>
        </w:rPr>
        <w:t xml:space="preserve">eft </w:t>
      </w:r>
      <w:r w:rsidR="00E851FE" w:rsidRPr="009B0F6E">
        <w:rPr>
          <w:rFonts w:ascii="Calibri" w:hAnsi="Calibri" w:cs="Calibri"/>
          <w:sz w:val="22"/>
          <w:szCs w:val="22"/>
          <w:lang w:val="en-US"/>
        </w:rPr>
        <w:t>a</w:t>
      </w:r>
      <w:r w:rsidRPr="009B0F6E">
        <w:rPr>
          <w:rFonts w:ascii="Calibri" w:hAnsi="Calibri" w:cs="Calibri"/>
          <w:sz w:val="22"/>
          <w:szCs w:val="22"/>
          <w:lang w:val="en-US"/>
        </w:rPr>
        <w:t xml:space="preserve">trial </w:t>
      </w:r>
      <w:r w:rsidR="00E851FE" w:rsidRPr="009B0F6E">
        <w:rPr>
          <w:rFonts w:ascii="Calibri" w:hAnsi="Calibri" w:cs="Calibri"/>
          <w:sz w:val="22"/>
          <w:szCs w:val="22"/>
          <w:lang w:val="en-US"/>
        </w:rPr>
        <w:t>a</w:t>
      </w:r>
      <w:r w:rsidRPr="009B0F6E">
        <w:rPr>
          <w:rFonts w:ascii="Calibri" w:hAnsi="Calibri" w:cs="Calibri"/>
          <w:sz w:val="22"/>
          <w:szCs w:val="22"/>
          <w:lang w:val="en-US"/>
        </w:rPr>
        <w:t xml:space="preserve">ppendage </w:t>
      </w:r>
      <w:r w:rsidR="00E851FE" w:rsidRPr="009B0F6E">
        <w:rPr>
          <w:rFonts w:ascii="Calibri" w:hAnsi="Calibri" w:cs="Calibri"/>
          <w:sz w:val="22"/>
          <w:szCs w:val="22"/>
          <w:lang w:val="en-US"/>
        </w:rPr>
        <w:t>s</w:t>
      </w:r>
      <w:r w:rsidRPr="009B0F6E">
        <w:rPr>
          <w:rFonts w:ascii="Calibri" w:hAnsi="Calibri" w:cs="Calibri"/>
          <w:sz w:val="22"/>
          <w:szCs w:val="22"/>
          <w:lang w:val="en-US"/>
        </w:rPr>
        <w:t xml:space="preserve">ystem for </w:t>
      </w:r>
      <w:r w:rsidR="00E851FE" w:rsidRPr="009B0F6E">
        <w:rPr>
          <w:rFonts w:ascii="Calibri" w:hAnsi="Calibri" w:cs="Calibri"/>
          <w:sz w:val="22"/>
          <w:szCs w:val="22"/>
          <w:lang w:val="en-US"/>
        </w:rPr>
        <w:t>s</w:t>
      </w:r>
      <w:r w:rsidRPr="009B0F6E">
        <w:rPr>
          <w:rFonts w:ascii="Calibri" w:hAnsi="Calibri" w:cs="Calibri"/>
          <w:sz w:val="22"/>
          <w:szCs w:val="22"/>
          <w:lang w:val="en-US"/>
        </w:rPr>
        <w:t xml:space="preserve">troke </w:t>
      </w:r>
      <w:r w:rsidR="00E851FE" w:rsidRPr="009B0F6E">
        <w:rPr>
          <w:rFonts w:ascii="Calibri" w:hAnsi="Calibri" w:cs="Calibri"/>
          <w:sz w:val="22"/>
          <w:szCs w:val="22"/>
          <w:lang w:val="en-US"/>
        </w:rPr>
        <w:t>p</w:t>
      </w:r>
      <w:r w:rsidRPr="009B0F6E">
        <w:rPr>
          <w:rFonts w:ascii="Calibri" w:hAnsi="Calibri" w:cs="Calibri"/>
          <w:sz w:val="22"/>
          <w:szCs w:val="22"/>
          <w:lang w:val="en-US"/>
        </w:rPr>
        <w:t xml:space="preserve">revention in </w:t>
      </w:r>
      <w:r w:rsidR="00E851FE" w:rsidRPr="009B0F6E">
        <w:rPr>
          <w:rFonts w:ascii="Calibri" w:hAnsi="Calibri" w:cs="Calibri"/>
          <w:sz w:val="22"/>
          <w:szCs w:val="22"/>
          <w:lang w:val="en-US"/>
        </w:rPr>
        <w:t>a</w:t>
      </w:r>
      <w:r w:rsidRPr="009B0F6E">
        <w:rPr>
          <w:rFonts w:ascii="Calibri" w:hAnsi="Calibri" w:cs="Calibri"/>
          <w:sz w:val="22"/>
          <w:szCs w:val="22"/>
          <w:lang w:val="en-US"/>
        </w:rPr>
        <w:t xml:space="preserve">trial </w:t>
      </w:r>
      <w:r w:rsidR="00E851FE" w:rsidRPr="009B0F6E">
        <w:rPr>
          <w:rFonts w:ascii="Calibri" w:hAnsi="Calibri" w:cs="Calibri"/>
          <w:sz w:val="22"/>
          <w:szCs w:val="22"/>
          <w:lang w:val="en-US"/>
        </w:rPr>
        <w:t>f</w:t>
      </w:r>
      <w:r w:rsidRPr="009B0F6E">
        <w:rPr>
          <w:rFonts w:ascii="Calibri" w:hAnsi="Calibri" w:cs="Calibri"/>
          <w:sz w:val="22"/>
          <w:szCs w:val="22"/>
          <w:lang w:val="en-US"/>
        </w:rPr>
        <w:t xml:space="preserve">ibrillation. </w:t>
      </w:r>
      <w:r w:rsidRPr="009B0F6E">
        <w:rPr>
          <w:rFonts w:ascii="Calibri" w:hAnsi="Calibri" w:cs="Calibri"/>
          <w:i/>
          <w:iCs/>
          <w:sz w:val="22"/>
          <w:szCs w:val="22"/>
          <w:lang w:val="en-US"/>
        </w:rPr>
        <w:t>J</w:t>
      </w:r>
      <w:r w:rsidR="00E851FE" w:rsidRPr="009B0F6E">
        <w:rPr>
          <w:rFonts w:ascii="Calibri" w:hAnsi="Calibri" w:cs="Calibri"/>
          <w:i/>
          <w:iCs/>
          <w:sz w:val="22"/>
          <w:szCs w:val="22"/>
          <w:lang w:val="en-US"/>
        </w:rPr>
        <w:t xml:space="preserve"> </w:t>
      </w:r>
      <w:r w:rsidRPr="009B0F6E">
        <w:rPr>
          <w:rFonts w:ascii="Calibri" w:hAnsi="Calibri" w:cs="Calibri"/>
          <w:i/>
          <w:iCs/>
          <w:sz w:val="22"/>
          <w:szCs w:val="22"/>
          <w:lang w:val="en-US"/>
        </w:rPr>
        <w:t>A</w:t>
      </w:r>
      <w:r w:rsidR="00E851FE" w:rsidRPr="009B0F6E">
        <w:rPr>
          <w:rFonts w:ascii="Calibri" w:hAnsi="Calibri" w:cs="Calibri"/>
          <w:i/>
          <w:iCs/>
          <w:sz w:val="22"/>
          <w:szCs w:val="22"/>
          <w:lang w:val="en-US"/>
        </w:rPr>
        <w:t xml:space="preserve">m </w:t>
      </w:r>
      <w:r w:rsidRPr="009B0F6E">
        <w:rPr>
          <w:rFonts w:ascii="Calibri" w:hAnsi="Calibri" w:cs="Calibri"/>
          <w:i/>
          <w:iCs/>
          <w:sz w:val="22"/>
          <w:szCs w:val="22"/>
          <w:lang w:val="en-US"/>
        </w:rPr>
        <w:t>C</w:t>
      </w:r>
      <w:r w:rsidR="00E851FE" w:rsidRPr="009B0F6E">
        <w:rPr>
          <w:rFonts w:ascii="Calibri" w:hAnsi="Calibri" w:cs="Calibri"/>
          <w:i/>
          <w:iCs/>
          <w:sz w:val="22"/>
          <w:szCs w:val="22"/>
          <w:lang w:val="en-US"/>
        </w:rPr>
        <w:t xml:space="preserve">oll </w:t>
      </w:r>
      <w:r w:rsidRPr="009B0F6E">
        <w:rPr>
          <w:rFonts w:ascii="Calibri" w:hAnsi="Calibri" w:cs="Calibri"/>
          <w:i/>
          <w:iCs/>
          <w:sz w:val="22"/>
          <w:szCs w:val="22"/>
          <w:lang w:val="en-US"/>
        </w:rPr>
        <w:t>C</w:t>
      </w:r>
      <w:r w:rsidR="00E851FE" w:rsidRPr="009B0F6E">
        <w:rPr>
          <w:rFonts w:ascii="Calibri" w:hAnsi="Calibri" w:cs="Calibri"/>
          <w:i/>
          <w:iCs/>
          <w:sz w:val="22"/>
          <w:szCs w:val="22"/>
          <w:lang w:val="en-US"/>
        </w:rPr>
        <w:t>ardiol</w:t>
      </w:r>
      <w:r w:rsidRPr="009B0F6E">
        <w:rPr>
          <w:rFonts w:ascii="Calibri" w:hAnsi="Calibri" w:cs="Calibri"/>
          <w:sz w:val="22"/>
          <w:szCs w:val="22"/>
          <w:lang w:val="en-US"/>
        </w:rPr>
        <w:t>. 2007</w:t>
      </w:r>
      <w:proofErr w:type="gramStart"/>
      <w:r w:rsidRPr="009B0F6E">
        <w:rPr>
          <w:rFonts w:ascii="Calibri" w:hAnsi="Calibri" w:cs="Calibri"/>
          <w:sz w:val="22"/>
          <w:szCs w:val="22"/>
          <w:lang w:val="en-US"/>
        </w:rPr>
        <w:t>;49</w:t>
      </w:r>
      <w:proofErr w:type="gramEnd"/>
      <w:r w:rsidRPr="009B0F6E">
        <w:rPr>
          <w:rFonts w:ascii="Calibri" w:hAnsi="Calibri" w:cs="Calibri"/>
          <w:sz w:val="22"/>
          <w:szCs w:val="22"/>
          <w:lang w:val="en-US"/>
        </w:rPr>
        <w:t>(13):1490</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1495. </w:t>
      </w:r>
      <w:hyperlink r:id="rId29" w:history="1">
        <w:r w:rsidRPr="009B0F6E">
          <w:rPr>
            <w:rStyle w:val="Hyperlink"/>
            <w:rFonts w:ascii="Calibri" w:hAnsi="Calibri" w:cs="Calibri"/>
            <w:sz w:val="22"/>
            <w:szCs w:val="22"/>
            <w:lang w:val="en-US"/>
          </w:rPr>
          <w:t>[CrossRef]</w:t>
        </w:r>
      </w:hyperlink>
      <w:r w:rsidR="00E851FE" w:rsidRPr="009B0F6E">
        <w:rPr>
          <w:rFonts w:ascii="Calibri" w:hAnsi="Calibri" w:cs="Calibri"/>
          <w:sz w:val="22"/>
          <w:szCs w:val="22"/>
          <w:lang w:val="en-US"/>
        </w:rPr>
        <w:t xml:space="preserve"> </w:t>
      </w:r>
      <w:hyperlink r:id="rId30" w:history="1">
        <w:r w:rsidR="000C6287" w:rsidRPr="009B0F6E">
          <w:rPr>
            <w:rStyle w:val="Hyperlink"/>
            <w:rFonts w:ascii="Calibri" w:hAnsi="Calibri" w:cs="Calibri"/>
            <w:sz w:val="22"/>
            <w:szCs w:val="22"/>
            <w:lang w:val="en-US"/>
          </w:rPr>
          <w:t>[PubMed]</w:t>
        </w:r>
      </w:hyperlink>
    </w:p>
    <w:p w14:paraId="304836F4" w14:textId="69C278F6"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Sievert H, Lesh MD, Trepels T, et al. Percutaneous left atrial appendage transcatheter occlusion to prevent stroke in high-risk patients with atrial fibrillation: early clinical experience. </w:t>
      </w:r>
      <w:r w:rsidRPr="009B0F6E">
        <w:rPr>
          <w:rFonts w:ascii="Calibri" w:hAnsi="Calibri" w:cs="Calibri"/>
          <w:i/>
          <w:iCs/>
          <w:sz w:val="22"/>
          <w:szCs w:val="22"/>
          <w:lang w:val="en-US"/>
        </w:rPr>
        <w:t>Circulation</w:t>
      </w:r>
      <w:r w:rsidRPr="009B0F6E">
        <w:rPr>
          <w:rFonts w:ascii="Calibri" w:hAnsi="Calibri" w:cs="Calibri"/>
          <w:sz w:val="22"/>
          <w:szCs w:val="22"/>
          <w:lang w:val="en-US"/>
        </w:rPr>
        <w:t>. 2002</w:t>
      </w:r>
      <w:proofErr w:type="gramStart"/>
      <w:r w:rsidRPr="009B0F6E">
        <w:rPr>
          <w:rFonts w:ascii="Calibri" w:hAnsi="Calibri" w:cs="Calibri"/>
          <w:sz w:val="22"/>
          <w:szCs w:val="22"/>
          <w:lang w:val="en-US"/>
        </w:rPr>
        <w:t>;105</w:t>
      </w:r>
      <w:proofErr w:type="gramEnd"/>
      <w:r w:rsidRPr="009B0F6E">
        <w:rPr>
          <w:rFonts w:ascii="Calibri" w:hAnsi="Calibri" w:cs="Calibri"/>
          <w:sz w:val="22"/>
          <w:szCs w:val="22"/>
          <w:lang w:val="en-US"/>
        </w:rPr>
        <w:t>(16):1887</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1889. </w:t>
      </w:r>
      <w:hyperlink r:id="rId31" w:history="1">
        <w:r w:rsidRPr="009B0F6E">
          <w:rPr>
            <w:rStyle w:val="Hyperlink"/>
            <w:rFonts w:ascii="Calibri" w:hAnsi="Calibri" w:cs="Calibri"/>
            <w:sz w:val="22"/>
            <w:szCs w:val="22"/>
            <w:lang w:val="en-US"/>
          </w:rPr>
          <w:t>[CrossRef]</w:t>
        </w:r>
      </w:hyperlink>
      <w:r w:rsidR="00FF716B" w:rsidRPr="009B0F6E">
        <w:rPr>
          <w:rFonts w:ascii="Calibri" w:hAnsi="Calibri" w:cs="Calibri"/>
          <w:sz w:val="22"/>
          <w:szCs w:val="22"/>
          <w:lang w:val="en-US"/>
        </w:rPr>
        <w:t xml:space="preserve"> </w:t>
      </w:r>
      <w:hyperlink r:id="rId32" w:history="1">
        <w:r w:rsidR="000C6287" w:rsidRPr="009B0F6E">
          <w:rPr>
            <w:rStyle w:val="Hyperlink"/>
            <w:rFonts w:ascii="Calibri" w:hAnsi="Calibri" w:cs="Calibri"/>
            <w:sz w:val="22"/>
            <w:szCs w:val="22"/>
            <w:lang w:val="en-US"/>
          </w:rPr>
          <w:t>[PubMed]</w:t>
        </w:r>
      </w:hyperlink>
    </w:p>
    <w:p w14:paraId="304836F6" w14:textId="67C3BE6C"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Holmes DR, Reddy VY, Turi ZG, et al. Percutaneous closure of the left atrial appendage versus warfarin therapy for prevention of stroke in patients with atrial fibrillation: a randomised non-inferiority trial. </w:t>
      </w:r>
      <w:r w:rsidRPr="009B0F6E">
        <w:rPr>
          <w:rFonts w:ascii="Calibri" w:hAnsi="Calibri" w:cs="Calibri"/>
          <w:i/>
          <w:iCs/>
          <w:sz w:val="22"/>
          <w:szCs w:val="22"/>
          <w:lang w:val="en-US"/>
        </w:rPr>
        <w:t>Lancet</w:t>
      </w:r>
      <w:r w:rsidRPr="009B0F6E">
        <w:rPr>
          <w:rFonts w:ascii="Calibri" w:hAnsi="Calibri" w:cs="Calibri"/>
          <w:sz w:val="22"/>
          <w:szCs w:val="22"/>
          <w:lang w:val="en-US"/>
        </w:rPr>
        <w:t>. 2009</w:t>
      </w:r>
      <w:proofErr w:type="gramStart"/>
      <w:r w:rsidRPr="009B0F6E">
        <w:rPr>
          <w:rFonts w:ascii="Calibri" w:hAnsi="Calibri" w:cs="Calibri"/>
          <w:sz w:val="22"/>
          <w:szCs w:val="22"/>
          <w:lang w:val="en-US"/>
        </w:rPr>
        <w:t>;374</w:t>
      </w:r>
      <w:proofErr w:type="gramEnd"/>
      <w:r w:rsidRPr="009B0F6E">
        <w:rPr>
          <w:rFonts w:ascii="Calibri" w:hAnsi="Calibri" w:cs="Calibri"/>
          <w:sz w:val="22"/>
          <w:szCs w:val="22"/>
          <w:lang w:val="en-US"/>
        </w:rPr>
        <w:t>(9689):534</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542. </w:t>
      </w:r>
      <w:hyperlink r:id="rId33" w:history="1">
        <w:r w:rsidRPr="009B0F6E">
          <w:rPr>
            <w:rStyle w:val="Hyperlink"/>
            <w:rFonts w:ascii="Calibri" w:hAnsi="Calibri" w:cs="Calibri"/>
            <w:sz w:val="22"/>
            <w:szCs w:val="22"/>
            <w:lang w:val="en-US"/>
          </w:rPr>
          <w:t>[CrossRef]</w:t>
        </w:r>
      </w:hyperlink>
      <w:r w:rsidR="00B0747D" w:rsidRPr="009B0F6E">
        <w:rPr>
          <w:rFonts w:ascii="Calibri" w:hAnsi="Calibri" w:cs="Calibri"/>
          <w:sz w:val="22"/>
          <w:szCs w:val="22"/>
          <w:lang w:val="en-US"/>
        </w:rPr>
        <w:t xml:space="preserve"> </w:t>
      </w:r>
      <w:hyperlink r:id="rId34" w:history="1">
        <w:r w:rsidR="000C6287" w:rsidRPr="009B0F6E">
          <w:rPr>
            <w:rStyle w:val="Hyperlink"/>
            <w:rFonts w:ascii="Calibri" w:hAnsi="Calibri" w:cs="Calibri"/>
            <w:sz w:val="22"/>
            <w:szCs w:val="22"/>
            <w:lang w:val="en-US"/>
          </w:rPr>
          <w:t>[PubMed]</w:t>
        </w:r>
      </w:hyperlink>
    </w:p>
    <w:p w14:paraId="304836F7" w14:textId="71B09129"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Holmes DR</w:t>
      </w:r>
      <w:r w:rsidR="00780169" w:rsidRPr="009B0F6E">
        <w:rPr>
          <w:rFonts w:ascii="Calibri" w:hAnsi="Calibri" w:cs="Calibri"/>
          <w:sz w:val="22"/>
          <w:szCs w:val="22"/>
          <w:lang w:val="en-US"/>
        </w:rPr>
        <w:t xml:space="preserve"> Jr</w:t>
      </w:r>
      <w:r w:rsidRPr="009B0F6E">
        <w:rPr>
          <w:rFonts w:ascii="Calibri" w:hAnsi="Calibri" w:cs="Calibri"/>
          <w:sz w:val="22"/>
          <w:szCs w:val="22"/>
          <w:lang w:val="en-US"/>
        </w:rPr>
        <w:t>, Reddy VY, Gordon NT, et al. Long-</w:t>
      </w:r>
      <w:r w:rsidR="005D02C1" w:rsidRPr="009B0F6E">
        <w:rPr>
          <w:rFonts w:ascii="Calibri" w:hAnsi="Calibri" w:cs="Calibri"/>
          <w:sz w:val="22"/>
          <w:szCs w:val="22"/>
          <w:lang w:val="en-US"/>
        </w:rPr>
        <w:t>t</w:t>
      </w:r>
      <w:r w:rsidRPr="009B0F6E">
        <w:rPr>
          <w:rFonts w:ascii="Calibri" w:hAnsi="Calibri" w:cs="Calibri"/>
          <w:sz w:val="22"/>
          <w:szCs w:val="22"/>
          <w:lang w:val="en-US"/>
        </w:rPr>
        <w:t xml:space="preserve">erm </w:t>
      </w:r>
      <w:r w:rsidR="005D02C1" w:rsidRPr="009B0F6E">
        <w:rPr>
          <w:rFonts w:ascii="Calibri" w:hAnsi="Calibri" w:cs="Calibri"/>
          <w:sz w:val="22"/>
          <w:szCs w:val="22"/>
          <w:lang w:val="en-US"/>
        </w:rPr>
        <w:t>s</w:t>
      </w:r>
      <w:r w:rsidRPr="009B0F6E">
        <w:rPr>
          <w:rFonts w:ascii="Calibri" w:hAnsi="Calibri" w:cs="Calibri"/>
          <w:sz w:val="22"/>
          <w:szCs w:val="22"/>
          <w:lang w:val="en-US"/>
        </w:rPr>
        <w:t xml:space="preserve">afety and </w:t>
      </w:r>
      <w:r w:rsidR="005D02C1" w:rsidRPr="009B0F6E">
        <w:rPr>
          <w:rFonts w:ascii="Calibri" w:hAnsi="Calibri" w:cs="Calibri"/>
          <w:sz w:val="22"/>
          <w:szCs w:val="22"/>
          <w:lang w:val="en-US"/>
        </w:rPr>
        <w:t>e</w:t>
      </w:r>
      <w:r w:rsidRPr="009B0F6E">
        <w:rPr>
          <w:rFonts w:ascii="Calibri" w:hAnsi="Calibri" w:cs="Calibri"/>
          <w:sz w:val="22"/>
          <w:szCs w:val="22"/>
          <w:lang w:val="en-US"/>
        </w:rPr>
        <w:t xml:space="preserve">fficacy in </w:t>
      </w:r>
      <w:r w:rsidR="005D02C1" w:rsidRPr="009B0F6E">
        <w:rPr>
          <w:rFonts w:ascii="Calibri" w:hAnsi="Calibri" w:cs="Calibri"/>
          <w:sz w:val="22"/>
          <w:szCs w:val="22"/>
          <w:lang w:val="en-US"/>
        </w:rPr>
        <w:t>c</w:t>
      </w:r>
      <w:r w:rsidRPr="009B0F6E">
        <w:rPr>
          <w:rFonts w:ascii="Calibri" w:hAnsi="Calibri" w:cs="Calibri"/>
          <w:sz w:val="22"/>
          <w:szCs w:val="22"/>
          <w:lang w:val="en-US"/>
        </w:rPr>
        <w:t xml:space="preserve">ontinued </w:t>
      </w:r>
      <w:r w:rsidR="005D02C1" w:rsidRPr="009B0F6E">
        <w:rPr>
          <w:rFonts w:ascii="Calibri" w:hAnsi="Calibri" w:cs="Calibri"/>
          <w:sz w:val="22"/>
          <w:szCs w:val="22"/>
          <w:lang w:val="en-US"/>
        </w:rPr>
        <w:t>a</w:t>
      </w:r>
      <w:r w:rsidRPr="009B0F6E">
        <w:rPr>
          <w:rFonts w:ascii="Calibri" w:hAnsi="Calibri" w:cs="Calibri"/>
          <w:sz w:val="22"/>
          <w:szCs w:val="22"/>
          <w:lang w:val="en-US"/>
        </w:rPr>
        <w:t xml:space="preserve">ccess </w:t>
      </w:r>
      <w:r w:rsidR="005D02C1" w:rsidRPr="009B0F6E">
        <w:rPr>
          <w:rFonts w:ascii="Calibri" w:hAnsi="Calibri" w:cs="Calibri"/>
          <w:sz w:val="22"/>
          <w:szCs w:val="22"/>
          <w:lang w:val="en-US"/>
        </w:rPr>
        <w:t>l</w:t>
      </w:r>
      <w:r w:rsidRPr="009B0F6E">
        <w:rPr>
          <w:rFonts w:ascii="Calibri" w:hAnsi="Calibri" w:cs="Calibri"/>
          <w:sz w:val="22"/>
          <w:szCs w:val="22"/>
          <w:lang w:val="en-US"/>
        </w:rPr>
        <w:t xml:space="preserve">eft </w:t>
      </w:r>
      <w:r w:rsidR="005D02C1" w:rsidRPr="009B0F6E">
        <w:rPr>
          <w:rFonts w:ascii="Calibri" w:hAnsi="Calibri" w:cs="Calibri"/>
          <w:sz w:val="22"/>
          <w:szCs w:val="22"/>
          <w:lang w:val="en-US"/>
        </w:rPr>
        <w:t>a</w:t>
      </w:r>
      <w:r w:rsidRPr="009B0F6E">
        <w:rPr>
          <w:rFonts w:ascii="Calibri" w:hAnsi="Calibri" w:cs="Calibri"/>
          <w:sz w:val="22"/>
          <w:szCs w:val="22"/>
          <w:lang w:val="en-US"/>
        </w:rPr>
        <w:t xml:space="preserve">trial </w:t>
      </w:r>
      <w:r w:rsidR="005D02C1" w:rsidRPr="009B0F6E">
        <w:rPr>
          <w:rFonts w:ascii="Calibri" w:hAnsi="Calibri" w:cs="Calibri"/>
          <w:sz w:val="22"/>
          <w:szCs w:val="22"/>
          <w:lang w:val="en-US"/>
        </w:rPr>
        <w:t>a</w:t>
      </w:r>
      <w:r w:rsidRPr="009B0F6E">
        <w:rPr>
          <w:rFonts w:ascii="Calibri" w:hAnsi="Calibri" w:cs="Calibri"/>
          <w:sz w:val="22"/>
          <w:szCs w:val="22"/>
          <w:lang w:val="en-US"/>
        </w:rPr>
        <w:t xml:space="preserve">ppendage </w:t>
      </w:r>
      <w:r w:rsidR="005D02C1" w:rsidRPr="009B0F6E">
        <w:rPr>
          <w:rFonts w:ascii="Calibri" w:hAnsi="Calibri" w:cs="Calibri"/>
          <w:sz w:val="22"/>
          <w:szCs w:val="22"/>
          <w:lang w:val="en-US"/>
        </w:rPr>
        <w:t>c</w:t>
      </w:r>
      <w:r w:rsidRPr="009B0F6E">
        <w:rPr>
          <w:rFonts w:ascii="Calibri" w:hAnsi="Calibri" w:cs="Calibri"/>
          <w:sz w:val="22"/>
          <w:szCs w:val="22"/>
          <w:lang w:val="en-US"/>
        </w:rPr>
        <w:t xml:space="preserve">losure </w:t>
      </w:r>
      <w:r w:rsidR="005D02C1" w:rsidRPr="009B0F6E">
        <w:rPr>
          <w:rFonts w:ascii="Calibri" w:hAnsi="Calibri" w:cs="Calibri"/>
          <w:sz w:val="22"/>
          <w:szCs w:val="22"/>
          <w:lang w:val="en-US"/>
        </w:rPr>
        <w:t>r</w:t>
      </w:r>
      <w:r w:rsidRPr="009B0F6E">
        <w:rPr>
          <w:rFonts w:ascii="Calibri" w:hAnsi="Calibri" w:cs="Calibri"/>
          <w:sz w:val="22"/>
          <w:szCs w:val="22"/>
          <w:lang w:val="en-US"/>
        </w:rPr>
        <w:t xml:space="preserve">egistries. </w:t>
      </w:r>
      <w:r w:rsidRPr="009B0F6E">
        <w:rPr>
          <w:rFonts w:ascii="Calibri" w:hAnsi="Calibri" w:cs="Calibri"/>
          <w:i/>
          <w:iCs/>
          <w:sz w:val="22"/>
          <w:szCs w:val="22"/>
          <w:lang w:val="en-US"/>
        </w:rPr>
        <w:t>J Am Coll Cardiol</w:t>
      </w:r>
      <w:r w:rsidRPr="009B0F6E">
        <w:rPr>
          <w:rFonts w:ascii="Calibri" w:hAnsi="Calibri" w:cs="Calibri"/>
          <w:sz w:val="22"/>
          <w:szCs w:val="22"/>
          <w:lang w:val="en-US"/>
        </w:rPr>
        <w:t>. 2019</w:t>
      </w:r>
      <w:proofErr w:type="gramStart"/>
      <w:r w:rsidRPr="009B0F6E">
        <w:rPr>
          <w:rFonts w:ascii="Calibri" w:hAnsi="Calibri" w:cs="Calibri"/>
          <w:sz w:val="22"/>
          <w:szCs w:val="22"/>
          <w:lang w:val="en-US"/>
        </w:rPr>
        <w:t>;74</w:t>
      </w:r>
      <w:proofErr w:type="gramEnd"/>
      <w:r w:rsidRPr="009B0F6E">
        <w:rPr>
          <w:rFonts w:ascii="Calibri" w:hAnsi="Calibri" w:cs="Calibri"/>
          <w:sz w:val="22"/>
          <w:szCs w:val="22"/>
          <w:lang w:val="en-US"/>
        </w:rPr>
        <w:t>(23):2878</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2889. </w:t>
      </w:r>
      <w:hyperlink r:id="rId35" w:history="1">
        <w:r w:rsidRPr="009B0F6E">
          <w:rPr>
            <w:rStyle w:val="Hyperlink"/>
            <w:rFonts w:ascii="Calibri" w:hAnsi="Calibri" w:cs="Calibri"/>
            <w:sz w:val="22"/>
            <w:szCs w:val="22"/>
            <w:lang w:val="en-US"/>
          </w:rPr>
          <w:t>[CrossRef]</w:t>
        </w:r>
      </w:hyperlink>
      <w:r w:rsidR="00780169" w:rsidRPr="009B0F6E">
        <w:rPr>
          <w:rFonts w:ascii="Calibri" w:hAnsi="Calibri" w:cs="Calibri"/>
          <w:sz w:val="22"/>
          <w:szCs w:val="22"/>
          <w:lang w:val="en-US"/>
        </w:rPr>
        <w:t xml:space="preserve"> </w:t>
      </w:r>
      <w:hyperlink r:id="rId36" w:history="1">
        <w:r w:rsidR="000C6287" w:rsidRPr="009B0F6E">
          <w:rPr>
            <w:rStyle w:val="Hyperlink"/>
            <w:rFonts w:ascii="Calibri" w:hAnsi="Calibri" w:cs="Calibri"/>
            <w:sz w:val="22"/>
            <w:szCs w:val="22"/>
            <w:lang w:val="en-US"/>
          </w:rPr>
          <w:t>[PubMed]</w:t>
        </w:r>
      </w:hyperlink>
    </w:p>
    <w:p w14:paraId="304836F8" w14:textId="31AA72A8"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Holmes DR, Kar S, Price MJ, et al. Prospective randomized evaluation of the Watchman Left Atrial Appendage Closure device in patients with atrial fibrillation versus long-term warfarin therapy: the PREVAIL trial. </w:t>
      </w:r>
      <w:r w:rsidRPr="009B0F6E">
        <w:rPr>
          <w:rFonts w:ascii="Calibri" w:hAnsi="Calibri" w:cs="Calibri"/>
          <w:i/>
          <w:iCs/>
          <w:sz w:val="22"/>
          <w:szCs w:val="22"/>
          <w:lang w:val="en-US"/>
        </w:rPr>
        <w:t>J Am Coll Cardiol</w:t>
      </w:r>
      <w:r w:rsidRPr="009B0F6E">
        <w:rPr>
          <w:rFonts w:ascii="Calibri" w:hAnsi="Calibri" w:cs="Calibri"/>
          <w:sz w:val="22"/>
          <w:szCs w:val="22"/>
          <w:lang w:val="en-US"/>
        </w:rPr>
        <w:t>. 2014</w:t>
      </w:r>
      <w:proofErr w:type="gramStart"/>
      <w:r w:rsidRPr="009B0F6E">
        <w:rPr>
          <w:rFonts w:ascii="Calibri" w:hAnsi="Calibri" w:cs="Calibri"/>
          <w:sz w:val="22"/>
          <w:szCs w:val="22"/>
          <w:lang w:val="en-US"/>
        </w:rPr>
        <w:t>;64</w:t>
      </w:r>
      <w:proofErr w:type="gramEnd"/>
      <w:r w:rsidRPr="009B0F6E">
        <w:rPr>
          <w:rFonts w:ascii="Calibri" w:hAnsi="Calibri" w:cs="Calibri"/>
          <w:sz w:val="22"/>
          <w:szCs w:val="22"/>
          <w:lang w:val="en-US"/>
        </w:rPr>
        <w:t>(1):1</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12. </w:t>
      </w:r>
      <w:hyperlink r:id="rId37" w:history="1">
        <w:r w:rsidRPr="009B0F6E">
          <w:rPr>
            <w:rStyle w:val="Hyperlink"/>
            <w:rFonts w:ascii="Calibri" w:hAnsi="Calibri" w:cs="Calibri"/>
            <w:sz w:val="22"/>
            <w:szCs w:val="22"/>
            <w:lang w:val="en-US"/>
          </w:rPr>
          <w:t>[CrossRef]</w:t>
        </w:r>
      </w:hyperlink>
    </w:p>
    <w:p w14:paraId="304836F9" w14:textId="5C3011E6"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Kar S, Doshi SK, Sadhu A, et al. Primary </w:t>
      </w:r>
      <w:r w:rsidR="00B05690" w:rsidRPr="009B0F6E">
        <w:rPr>
          <w:rFonts w:ascii="Calibri" w:hAnsi="Calibri" w:cs="Calibri"/>
          <w:sz w:val="22"/>
          <w:szCs w:val="22"/>
          <w:lang w:val="en-US"/>
        </w:rPr>
        <w:t>o</w:t>
      </w:r>
      <w:r w:rsidRPr="009B0F6E">
        <w:rPr>
          <w:rFonts w:ascii="Calibri" w:hAnsi="Calibri" w:cs="Calibri"/>
          <w:sz w:val="22"/>
          <w:szCs w:val="22"/>
          <w:lang w:val="en-US"/>
        </w:rPr>
        <w:t xml:space="preserve">utcome </w:t>
      </w:r>
      <w:r w:rsidR="00B05690" w:rsidRPr="009B0F6E">
        <w:rPr>
          <w:rFonts w:ascii="Calibri" w:hAnsi="Calibri" w:cs="Calibri"/>
          <w:sz w:val="22"/>
          <w:szCs w:val="22"/>
          <w:lang w:val="en-US"/>
        </w:rPr>
        <w:t>e</w:t>
      </w:r>
      <w:r w:rsidRPr="009B0F6E">
        <w:rPr>
          <w:rFonts w:ascii="Calibri" w:hAnsi="Calibri" w:cs="Calibri"/>
          <w:sz w:val="22"/>
          <w:szCs w:val="22"/>
          <w:lang w:val="en-US"/>
        </w:rPr>
        <w:t xml:space="preserve">valuation of a </w:t>
      </w:r>
      <w:r w:rsidR="00B05690" w:rsidRPr="009B0F6E">
        <w:rPr>
          <w:rFonts w:ascii="Calibri" w:hAnsi="Calibri" w:cs="Calibri"/>
          <w:sz w:val="22"/>
          <w:szCs w:val="22"/>
          <w:lang w:val="en-US"/>
        </w:rPr>
        <w:t>n</w:t>
      </w:r>
      <w:r w:rsidRPr="009B0F6E">
        <w:rPr>
          <w:rFonts w:ascii="Calibri" w:hAnsi="Calibri" w:cs="Calibri"/>
          <w:sz w:val="22"/>
          <w:szCs w:val="22"/>
          <w:lang w:val="en-US"/>
        </w:rPr>
        <w:t>ext-</w:t>
      </w:r>
      <w:r w:rsidR="00B05690" w:rsidRPr="009B0F6E">
        <w:rPr>
          <w:rFonts w:ascii="Calibri" w:hAnsi="Calibri" w:cs="Calibri"/>
          <w:sz w:val="22"/>
          <w:szCs w:val="22"/>
          <w:lang w:val="en-US"/>
        </w:rPr>
        <w:t>g</w:t>
      </w:r>
      <w:r w:rsidRPr="009B0F6E">
        <w:rPr>
          <w:rFonts w:ascii="Calibri" w:hAnsi="Calibri" w:cs="Calibri"/>
          <w:sz w:val="22"/>
          <w:szCs w:val="22"/>
          <w:lang w:val="en-US"/>
        </w:rPr>
        <w:t xml:space="preserve">eneration </w:t>
      </w:r>
      <w:r w:rsidR="00B05690" w:rsidRPr="009B0F6E">
        <w:rPr>
          <w:rFonts w:ascii="Calibri" w:hAnsi="Calibri" w:cs="Calibri"/>
          <w:sz w:val="22"/>
          <w:szCs w:val="22"/>
          <w:lang w:val="en-US"/>
        </w:rPr>
        <w:t>l</w:t>
      </w:r>
      <w:r w:rsidRPr="009B0F6E">
        <w:rPr>
          <w:rFonts w:ascii="Calibri" w:hAnsi="Calibri" w:cs="Calibri"/>
          <w:sz w:val="22"/>
          <w:szCs w:val="22"/>
          <w:lang w:val="en-US"/>
        </w:rPr>
        <w:t xml:space="preserve">eft </w:t>
      </w:r>
      <w:r w:rsidR="00B05690" w:rsidRPr="009B0F6E">
        <w:rPr>
          <w:rFonts w:ascii="Calibri" w:hAnsi="Calibri" w:cs="Calibri"/>
          <w:sz w:val="22"/>
          <w:szCs w:val="22"/>
          <w:lang w:val="en-US"/>
        </w:rPr>
        <w:t>a</w:t>
      </w:r>
      <w:r w:rsidRPr="009B0F6E">
        <w:rPr>
          <w:rFonts w:ascii="Calibri" w:hAnsi="Calibri" w:cs="Calibri"/>
          <w:sz w:val="22"/>
          <w:szCs w:val="22"/>
          <w:lang w:val="en-US"/>
        </w:rPr>
        <w:t xml:space="preserve">trial </w:t>
      </w:r>
      <w:r w:rsidR="00B05690" w:rsidRPr="009B0F6E">
        <w:rPr>
          <w:rFonts w:ascii="Calibri" w:hAnsi="Calibri" w:cs="Calibri"/>
          <w:sz w:val="22"/>
          <w:szCs w:val="22"/>
          <w:lang w:val="en-US"/>
        </w:rPr>
        <w:t>a</w:t>
      </w:r>
      <w:r w:rsidRPr="009B0F6E">
        <w:rPr>
          <w:rFonts w:ascii="Calibri" w:hAnsi="Calibri" w:cs="Calibri"/>
          <w:sz w:val="22"/>
          <w:szCs w:val="22"/>
          <w:lang w:val="en-US"/>
        </w:rPr>
        <w:t xml:space="preserve">ppendage </w:t>
      </w:r>
      <w:r w:rsidR="00B05690" w:rsidRPr="009B0F6E">
        <w:rPr>
          <w:rFonts w:ascii="Calibri" w:hAnsi="Calibri" w:cs="Calibri"/>
          <w:sz w:val="22"/>
          <w:szCs w:val="22"/>
          <w:lang w:val="en-US"/>
        </w:rPr>
        <w:t>c</w:t>
      </w:r>
      <w:r w:rsidRPr="009B0F6E">
        <w:rPr>
          <w:rFonts w:ascii="Calibri" w:hAnsi="Calibri" w:cs="Calibri"/>
          <w:sz w:val="22"/>
          <w:szCs w:val="22"/>
          <w:lang w:val="en-US"/>
        </w:rPr>
        <w:t xml:space="preserve">losure </w:t>
      </w:r>
      <w:r w:rsidR="00B05690" w:rsidRPr="009B0F6E">
        <w:rPr>
          <w:rFonts w:ascii="Calibri" w:hAnsi="Calibri" w:cs="Calibri"/>
          <w:sz w:val="22"/>
          <w:szCs w:val="22"/>
          <w:lang w:val="en-US"/>
        </w:rPr>
        <w:t>d</w:t>
      </w:r>
      <w:r w:rsidRPr="009B0F6E">
        <w:rPr>
          <w:rFonts w:ascii="Calibri" w:hAnsi="Calibri" w:cs="Calibri"/>
          <w:sz w:val="22"/>
          <w:szCs w:val="22"/>
          <w:lang w:val="en-US"/>
        </w:rPr>
        <w:t xml:space="preserve">evice: </w:t>
      </w:r>
      <w:r w:rsidR="00B05690" w:rsidRPr="009B0F6E">
        <w:rPr>
          <w:rFonts w:ascii="Calibri" w:hAnsi="Calibri" w:cs="Calibri"/>
          <w:sz w:val="22"/>
          <w:szCs w:val="22"/>
          <w:lang w:val="en-US"/>
        </w:rPr>
        <w:t>r</w:t>
      </w:r>
      <w:r w:rsidRPr="009B0F6E">
        <w:rPr>
          <w:rFonts w:ascii="Calibri" w:hAnsi="Calibri" w:cs="Calibri"/>
          <w:sz w:val="22"/>
          <w:szCs w:val="22"/>
          <w:lang w:val="en-US"/>
        </w:rPr>
        <w:t xml:space="preserve">esults </w:t>
      </w:r>
      <w:r w:rsidR="00B05690" w:rsidRPr="009B0F6E">
        <w:rPr>
          <w:rFonts w:ascii="Calibri" w:hAnsi="Calibri" w:cs="Calibri"/>
          <w:sz w:val="22"/>
          <w:szCs w:val="22"/>
          <w:lang w:val="en-US"/>
        </w:rPr>
        <w:t>f</w:t>
      </w:r>
      <w:r w:rsidRPr="009B0F6E">
        <w:rPr>
          <w:rFonts w:ascii="Calibri" w:hAnsi="Calibri" w:cs="Calibri"/>
          <w:sz w:val="22"/>
          <w:szCs w:val="22"/>
          <w:lang w:val="en-US"/>
        </w:rPr>
        <w:t xml:space="preserve">rom the PINNACLE FLX </w:t>
      </w:r>
      <w:r w:rsidR="00B05690" w:rsidRPr="009B0F6E">
        <w:rPr>
          <w:rFonts w:ascii="Calibri" w:hAnsi="Calibri" w:cs="Calibri"/>
          <w:sz w:val="22"/>
          <w:szCs w:val="22"/>
          <w:lang w:val="en-US"/>
        </w:rPr>
        <w:t>t</w:t>
      </w:r>
      <w:r w:rsidRPr="009B0F6E">
        <w:rPr>
          <w:rFonts w:ascii="Calibri" w:hAnsi="Calibri" w:cs="Calibri"/>
          <w:sz w:val="22"/>
          <w:szCs w:val="22"/>
          <w:lang w:val="en-US"/>
        </w:rPr>
        <w:t xml:space="preserve">rial. </w:t>
      </w:r>
      <w:r w:rsidRPr="009B0F6E">
        <w:rPr>
          <w:rFonts w:ascii="Calibri" w:hAnsi="Calibri" w:cs="Calibri"/>
          <w:i/>
          <w:iCs/>
          <w:sz w:val="22"/>
          <w:szCs w:val="22"/>
          <w:lang w:val="en-US"/>
        </w:rPr>
        <w:t>Circulation</w:t>
      </w:r>
      <w:r w:rsidRPr="009B0F6E">
        <w:rPr>
          <w:rFonts w:ascii="Calibri" w:hAnsi="Calibri" w:cs="Calibri"/>
          <w:sz w:val="22"/>
          <w:szCs w:val="22"/>
          <w:lang w:val="en-US"/>
        </w:rPr>
        <w:t>. 2021</w:t>
      </w:r>
      <w:proofErr w:type="gramStart"/>
      <w:r w:rsidRPr="009B0F6E">
        <w:rPr>
          <w:rFonts w:ascii="Calibri" w:hAnsi="Calibri" w:cs="Calibri"/>
          <w:sz w:val="22"/>
          <w:szCs w:val="22"/>
          <w:lang w:val="en-US"/>
        </w:rPr>
        <w:t>;143</w:t>
      </w:r>
      <w:proofErr w:type="gramEnd"/>
      <w:r w:rsidRPr="009B0F6E">
        <w:rPr>
          <w:rFonts w:ascii="Calibri" w:hAnsi="Calibri" w:cs="Calibri"/>
          <w:sz w:val="22"/>
          <w:szCs w:val="22"/>
          <w:lang w:val="en-US"/>
        </w:rPr>
        <w:t>(18):1754</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1762. </w:t>
      </w:r>
      <w:hyperlink r:id="rId38" w:history="1">
        <w:r w:rsidR="000C6287" w:rsidRPr="009B0F6E">
          <w:rPr>
            <w:rStyle w:val="Hyperlink"/>
            <w:rFonts w:ascii="Calibri" w:hAnsi="Calibri" w:cs="Calibri"/>
            <w:sz w:val="22"/>
            <w:szCs w:val="22"/>
            <w:lang w:val="en-US"/>
          </w:rPr>
          <w:t>[CrossRef]</w:t>
        </w:r>
      </w:hyperlink>
      <w:r w:rsidR="00292CCE" w:rsidRPr="009B0F6E">
        <w:rPr>
          <w:rFonts w:ascii="Calibri" w:hAnsi="Calibri" w:cs="Calibri"/>
          <w:sz w:val="22"/>
          <w:szCs w:val="22"/>
          <w:lang w:val="en-US"/>
        </w:rPr>
        <w:t xml:space="preserve"> </w:t>
      </w:r>
      <w:hyperlink r:id="rId39" w:history="1">
        <w:r w:rsidR="000C6287" w:rsidRPr="009B0F6E">
          <w:rPr>
            <w:rStyle w:val="Hyperlink"/>
            <w:rFonts w:ascii="Calibri" w:hAnsi="Calibri" w:cs="Calibri"/>
            <w:sz w:val="22"/>
            <w:szCs w:val="22"/>
            <w:lang w:val="en-US"/>
          </w:rPr>
          <w:t>[PubMed]</w:t>
        </w:r>
      </w:hyperlink>
    </w:p>
    <w:p w14:paraId="304836FA" w14:textId="1CA2DC76"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Cruz-González I, Korsholm K, Trejo-Velasco B, et al. Procedural and </w:t>
      </w:r>
      <w:r w:rsidR="00FE3DE9" w:rsidRPr="009B0F6E">
        <w:rPr>
          <w:rFonts w:ascii="Calibri" w:hAnsi="Calibri" w:cs="Calibri"/>
          <w:sz w:val="22"/>
          <w:szCs w:val="22"/>
          <w:lang w:val="en-US"/>
        </w:rPr>
        <w:t>s</w:t>
      </w:r>
      <w:r w:rsidRPr="009B0F6E">
        <w:rPr>
          <w:rFonts w:ascii="Calibri" w:hAnsi="Calibri" w:cs="Calibri"/>
          <w:sz w:val="22"/>
          <w:szCs w:val="22"/>
          <w:lang w:val="en-US"/>
        </w:rPr>
        <w:t>hort-</w:t>
      </w:r>
      <w:r w:rsidR="00FE3DE9" w:rsidRPr="009B0F6E">
        <w:rPr>
          <w:rFonts w:ascii="Calibri" w:hAnsi="Calibri" w:cs="Calibri"/>
          <w:sz w:val="22"/>
          <w:szCs w:val="22"/>
          <w:lang w:val="en-US"/>
        </w:rPr>
        <w:t>t</w:t>
      </w:r>
      <w:r w:rsidRPr="009B0F6E">
        <w:rPr>
          <w:rFonts w:ascii="Calibri" w:hAnsi="Calibri" w:cs="Calibri"/>
          <w:sz w:val="22"/>
          <w:szCs w:val="22"/>
          <w:lang w:val="en-US"/>
        </w:rPr>
        <w:t xml:space="preserve">erm </w:t>
      </w:r>
      <w:r w:rsidR="00FE3DE9" w:rsidRPr="009B0F6E">
        <w:rPr>
          <w:rFonts w:ascii="Calibri" w:hAnsi="Calibri" w:cs="Calibri"/>
          <w:sz w:val="22"/>
          <w:szCs w:val="22"/>
          <w:lang w:val="en-US"/>
        </w:rPr>
        <w:t>r</w:t>
      </w:r>
      <w:r w:rsidRPr="009B0F6E">
        <w:rPr>
          <w:rFonts w:ascii="Calibri" w:hAnsi="Calibri" w:cs="Calibri"/>
          <w:sz w:val="22"/>
          <w:szCs w:val="22"/>
          <w:lang w:val="en-US"/>
        </w:rPr>
        <w:t xml:space="preserve">esults </w:t>
      </w:r>
      <w:r w:rsidR="00FE3DE9" w:rsidRPr="009B0F6E">
        <w:rPr>
          <w:rFonts w:ascii="Calibri" w:hAnsi="Calibri" w:cs="Calibri"/>
          <w:sz w:val="22"/>
          <w:szCs w:val="22"/>
          <w:lang w:val="en-US"/>
        </w:rPr>
        <w:t>w</w:t>
      </w:r>
      <w:r w:rsidRPr="009B0F6E">
        <w:rPr>
          <w:rFonts w:ascii="Calibri" w:hAnsi="Calibri" w:cs="Calibri"/>
          <w:sz w:val="22"/>
          <w:szCs w:val="22"/>
          <w:lang w:val="en-US"/>
        </w:rPr>
        <w:t xml:space="preserve">ith the </w:t>
      </w:r>
      <w:r w:rsidR="00FE3DE9" w:rsidRPr="009B0F6E">
        <w:rPr>
          <w:rFonts w:ascii="Calibri" w:hAnsi="Calibri" w:cs="Calibri"/>
          <w:sz w:val="22"/>
          <w:szCs w:val="22"/>
          <w:lang w:val="en-US"/>
        </w:rPr>
        <w:t>n</w:t>
      </w:r>
      <w:r w:rsidRPr="009B0F6E">
        <w:rPr>
          <w:rFonts w:ascii="Calibri" w:hAnsi="Calibri" w:cs="Calibri"/>
          <w:sz w:val="22"/>
          <w:szCs w:val="22"/>
          <w:lang w:val="en-US"/>
        </w:rPr>
        <w:t xml:space="preserve">ew </w:t>
      </w:r>
      <w:r w:rsidR="00FE3DE9" w:rsidRPr="009B0F6E">
        <w:rPr>
          <w:rFonts w:ascii="Calibri" w:hAnsi="Calibri" w:cs="Calibri"/>
          <w:sz w:val="22"/>
          <w:szCs w:val="22"/>
          <w:lang w:val="en-US"/>
        </w:rPr>
        <w:t xml:space="preserve">Watchman </w:t>
      </w:r>
      <w:r w:rsidRPr="009B0F6E">
        <w:rPr>
          <w:rFonts w:ascii="Calibri" w:hAnsi="Calibri" w:cs="Calibri"/>
          <w:sz w:val="22"/>
          <w:szCs w:val="22"/>
          <w:lang w:val="en-US"/>
        </w:rPr>
        <w:t xml:space="preserve">FLX </w:t>
      </w:r>
      <w:r w:rsidR="00FE3DE9" w:rsidRPr="009B0F6E">
        <w:rPr>
          <w:rFonts w:ascii="Calibri" w:hAnsi="Calibri" w:cs="Calibri"/>
          <w:sz w:val="22"/>
          <w:szCs w:val="22"/>
          <w:lang w:val="en-US"/>
        </w:rPr>
        <w:t>l</w:t>
      </w:r>
      <w:r w:rsidRPr="009B0F6E">
        <w:rPr>
          <w:rFonts w:ascii="Calibri" w:hAnsi="Calibri" w:cs="Calibri"/>
          <w:sz w:val="22"/>
          <w:szCs w:val="22"/>
          <w:lang w:val="en-US"/>
        </w:rPr>
        <w:t xml:space="preserve">eft </w:t>
      </w:r>
      <w:r w:rsidR="00FE3DE9" w:rsidRPr="009B0F6E">
        <w:rPr>
          <w:rFonts w:ascii="Calibri" w:hAnsi="Calibri" w:cs="Calibri"/>
          <w:sz w:val="22"/>
          <w:szCs w:val="22"/>
          <w:lang w:val="en-US"/>
        </w:rPr>
        <w:t>a</w:t>
      </w:r>
      <w:r w:rsidRPr="009B0F6E">
        <w:rPr>
          <w:rFonts w:ascii="Calibri" w:hAnsi="Calibri" w:cs="Calibri"/>
          <w:sz w:val="22"/>
          <w:szCs w:val="22"/>
          <w:lang w:val="en-US"/>
        </w:rPr>
        <w:t xml:space="preserve">trial </w:t>
      </w:r>
      <w:r w:rsidR="00FE3DE9" w:rsidRPr="009B0F6E">
        <w:rPr>
          <w:rFonts w:ascii="Calibri" w:hAnsi="Calibri" w:cs="Calibri"/>
          <w:sz w:val="22"/>
          <w:szCs w:val="22"/>
          <w:lang w:val="en-US"/>
        </w:rPr>
        <w:t>a</w:t>
      </w:r>
      <w:r w:rsidRPr="009B0F6E">
        <w:rPr>
          <w:rFonts w:ascii="Calibri" w:hAnsi="Calibri" w:cs="Calibri"/>
          <w:sz w:val="22"/>
          <w:szCs w:val="22"/>
          <w:lang w:val="en-US"/>
        </w:rPr>
        <w:t xml:space="preserve">ppendage </w:t>
      </w:r>
      <w:r w:rsidR="00FE3DE9" w:rsidRPr="009B0F6E">
        <w:rPr>
          <w:rFonts w:ascii="Calibri" w:hAnsi="Calibri" w:cs="Calibri"/>
          <w:sz w:val="22"/>
          <w:szCs w:val="22"/>
          <w:lang w:val="en-US"/>
        </w:rPr>
        <w:t>o</w:t>
      </w:r>
      <w:r w:rsidRPr="009B0F6E">
        <w:rPr>
          <w:rFonts w:ascii="Calibri" w:hAnsi="Calibri" w:cs="Calibri"/>
          <w:sz w:val="22"/>
          <w:szCs w:val="22"/>
          <w:lang w:val="en-US"/>
        </w:rPr>
        <w:t xml:space="preserve">cclusion </w:t>
      </w:r>
      <w:r w:rsidR="00FE3DE9" w:rsidRPr="009B0F6E">
        <w:rPr>
          <w:rFonts w:ascii="Calibri" w:hAnsi="Calibri" w:cs="Calibri"/>
          <w:sz w:val="22"/>
          <w:szCs w:val="22"/>
          <w:lang w:val="en-US"/>
        </w:rPr>
        <w:t>d</w:t>
      </w:r>
      <w:r w:rsidRPr="009B0F6E">
        <w:rPr>
          <w:rFonts w:ascii="Calibri" w:hAnsi="Calibri" w:cs="Calibri"/>
          <w:sz w:val="22"/>
          <w:szCs w:val="22"/>
          <w:lang w:val="en-US"/>
        </w:rPr>
        <w:t xml:space="preserve">evice. </w:t>
      </w:r>
      <w:r w:rsidRPr="009B0F6E">
        <w:rPr>
          <w:rFonts w:ascii="Calibri" w:hAnsi="Calibri" w:cs="Calibri"/>
          <w:i/>
          <w:iCs/>
          <w:sz w:val="22"/>
          <w:szCs w:val="22"/>
          <w:lang w:val="en-US"/>
        </w:rPr>
        <w:t>JACC Cardiovasc Interv</w:t>
      </w:r>
      <w:r w:rsidRPr="009B0F6E">
        <w:rPr>
          <w:rFonts w:ascii="Calibri" w:hAnsi="Calibri" w:cs="Calibri"/>
          <w:sz w:val="22"/>
          <w:szCs w:val="22"/>
          <w:lang w:val="en-US"/>
        </w:rPr>
        <w:t>. 2020</w:t>
      </w:r>
      <w:proofErr w:type="gramStart"/>
      <w:r w:rsidRPr="009B0F6E">
        <w:rPr>
          <w:rFonts w:ascii="Calibri" w:hAnsi="Calibri" w:cs="Calibri"/>
          <w:sz w:val="22"/>
          <w:szCs w:val="22"/>
          <w:lang w:val="en-US"/>
        </w:rPr>
        <w:t>;13</w:t>
      </w:r>
      <w:proofErr w:type="gramEnd"/>
      <w:r w:rsidRPr="009B0F6E">
        <w:rPr>
          <w:rFonts w:ascii="Calibri" w:hAnsi="Calibri" w:cs="Calibri"/>
          <w:sz w:val="22"/>
          <w:szCs w:val="22"/>
          <w:lang w:val="en-US"/>
        </w:rPr>
        <w:t>(23):2732</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2741. </w:t>
      </w:r>
      <w:hyperlink r:id="rId40" w:history="1">
        <w:r w:rsidR="000C6287" w:rsidRPr="009B0F6E">
          <w:rPr>
            <w:rStyle w:val="Hyperlink"/>
            <w:rFonts w:ascii="Calibri" w:hAnsi="Calibri" w:cs="Calibri"/>
            <w:sz w:val="22"/>
            <w:szCs w:val="22"/>
            <w:lang w:val="en-US"/>
          </w:rPr>
          <w:t>[CrossRef]</w:t>
        </w:r>
      </w:hyperlink>
      <w:r w:rsidR="00FF3363" w:rsidRPr="009B0F6E">
        <w:rPr>
          <w:rFonts w:ascii="Calibri" w:hAnsi="Calibri" w:cs="Calibri"/>
          <w:sz w:val="22"/>
          <w:szCs w:val="22"/>
          <w:lang w:val="en-US"/>
        </w:rPr>
        <w:t xml:space="preserve"> </w:t>
      </w:r>
      <w:hyperlink r:id="rId41" w:history="1">
        <w:r w:rsidR="000C6287" w:rsidRPr="009B0F6E">
          <w:rPr>
            <w:rStyle w:val="Hyperlink"/>
            <w:rFonts w:ascii="Calibri" w:hAnsi="Calibri" w:cs="Calibri"/>
            <w:sz w:val="22"/>
            <w:szCs w:val="22"/>
            <w:lang w:val="en-US"/>
          </w:rPr>
          <w:t>[PubMed]</w:t>
        </w:r>
      </w:hyperlink>
    </w:p>
    <w:p w14:paraId="304836FB" w14:textId="548C8439"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Dukkipati SR, Holmes DR, Doshi SK, et al. Impact of </w:t>
      </w:r>
      <w:r w:rsidR="00D1431E" w:rsidRPr="009B0F6E">
        <w:rPr>
          <w:rFonts w:ascii="Calibri" w:hAnsi="Calibri" w:cs="Calibri"/>
          <w:sz w:val="22"/>
          <w:szCs w:val="22"/>
          <w:lang w:val="en-US"/>
        </w:rPr>
        <w:t>peridevice leak on 5-year outcomes after left atrial appendage</w:t>
      </w:r>
      <w:r w:rsidR="00351D23" w:rsidRPr="009B0F6E">
        <w:rPr>
          <w:rFonts w:ascii="Calibri" w:hAnsi="Calibri" w:cs="Calibri"/>
          <w:sz w:val="22"/>
          <w:szCs w:val="22"/>
          <w:lang w:val="en-US"/>
        </w:rPr>
        <w:t xml:space="preserve"> </w:t>
      </w:r>
      <w:r w:rsidR="00D1431E" w:rsidRPr="009B0F6E">
        <w:rPr>
          <w:rFonts w:ascii="Calibri" w:hAnsi="Calibri" w:cs="Calibri"/>
          <w:sz w:val="22"/>
          <w:szCs w:val="22"/>
          <w:lang w:val="en-US"/>
        </w:rPr>
        <w:t>clo</w:t>
      </w:r>
      <w:r w:rsidRPr="009B0F6E">
        <w:rPr>
          <w:rFonts w:ascii="Calibri" w:hAnsi="Calibri" w:cs="Calibri"/>
          <w:sz w:val="22"/>
          <w:szCs w:val="22"/>
          <w:lang w:val="en-US"/>
        </w:rPr>
        <w:t xml:space="preserve">sure. </w:t>
      </w:r>
      <w:r w:rsidRPr="009B0F6E">
        <w:rPr>
          <w:rFonts w:ascii="Calibri" w:hAnsi="Calibri" w:cs="Calibri"/>
          <w:i/>
          <w:iCs/>
          <w:sz w:val="22"/>
          <w:szCs w:val="22"/>
          <w:lang w:val="en-US"/>
        </w:rPr>
        <w:t>J Am Coll Cardiol</w:t>
      </w:r>
      <w:r w:rsidRPr="009B0F6E">
        <w:rPr>
          <w:rFonts w:ascii="Calibri" w:hAnsi="Calibri" w:cs="Calibri"/>
          <w:sz w:val="22"/>
          <w:szCs w:val="22"/>
          <w:lang w:val="en-US"/>
        </w:rPr>
        <w:t>. 2022</w:t>
      </w:r>
      <w:proofErr w:type="gramStart"/>
      <w:r w:rsidRPr="009B0F6E">
        <w:rPr>
          <w:rFonts w:ascii="Calibri" w:hAnsi="Calibri" w:cs="Calibri"/>
          <w:sz w:val="22"/>
          <w:szCs w:val="22"/>
          <w:lang w:val="en-US"/>
        </w:rPr>
        <w:t>;80</w:t>
      </w:r>
      <w:proofErr w:type="gramEnd"/>
      <w:r w:rsidRPr="009B0F6E">
        <w:rPr>
          <w:rFonts w:ascii="Calibri" w:hAnsi="Calibri" w:cs="Calibri"/>
          <w:sz w:val="22"/>
          <w:szCs w:val="22"/>
          <w:lang w:val="en-US"/>
        </w:rPr>
        <w:t>(5):469</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483. </w:t>
      </w:r>
      <w:hyperlink r:id="rId42" w:history="1">
        <w:r w:rsidR="000C6287" w:rsidRPr="009B0F6E">
          <w:rPr>
            <w:rStyle w:val="Hyperlink"/>
            <w:rFonts w:ascii="Calibri" w:hAnsi="Calibri" w:cs="Calibri"/>
            <w:sz w:val="22"/>
            <w:szCs w:val="22"/>
            <w:lang w:val="en-US"/>
          </w:rPr>
          <w:t>[CrossRef]</w:t>
        </w:r>
      </w:hyperlink>
      <w:r w:rsidR="00D1431E" w:rsidRPr="009B0F6E">
        <w:rPr>
          <w:rFonts w:ascii="Calibri" w:hAnsi="Calibri" w:cs="Calibri"/>
          <w:sz w:val="22"/>
          <w:szCs w:val="22"/>
          <w:lang w:val="en-US"/>
        </w:rPr>
        <w:t xml:space="preserve"> </w:t>
      </w:r>
      <w:hyperlink r:id="rId43" w:history="1">
        <w:r w:rsidR="000C6287" w:rsidRPr="009B0F6E">
          <w:rPr>
            <w:rStyle w:val="Hyperlink"/>
            <w:rFonts w:ascii="Calibri" w:hAnsi="Calibri" w:cs="Calibri"/>
            <w:sz w:val="22"/>
            <w:szCs w:val="22"/>
            <w:lang w:val="en-US"/>
          </w:rPr>
          <w:t>[PubMed]</w:t>
        </w:r>
      </w:hyperlink>
    </w:p>
    <w:p w14:paraId="304836FC" w14:textId="2A01AC78"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Alkhouli M, Du C, Killu A, et al. Clinical </w:t>
      </w:r>
      <w:r w:rsidR="00D64E54" w:rsidRPr="009B0F6E">
        <w:rPr>
          <w:rFonts w:ascii="Calibri" w:hAnsi="Calibri" w:cs="Calibri"/>
          <w:sz w:val="22"/>
          <w:szCs w:val="22"/>
          <w:lang w:val="en-US"/>
        </w:rPr>
        <w:t>impact of residual leaks following left atrial appendage occlusio</w:t>
      </w:r>
      <w:r w:rsidRPr="009B0F6E">
        <w:rPr>
          <w:rFonts w:ascii="Calibri" w:hAnsi="Calibri" w:cs="Calibri"/>
          <w:sz w:val="22"/>
          <w:szCs w:val="22"/>
          <w:lang w:val="en-US"/>
        </w:rPr>
        <w:t>n</w:t>
      </w:r>
      <w:r w:rsidR="00612076" w:rsidRPr="009B0F6E">
        <w:rPr>
          <w:rFonts w:ascii="Calibri" w:hAnsi="Calibri" w:cs="Calibri"/>
          <w:sz w:val="22"/>
          <w:szCs w:val="22"/>
          <w:lang w:val="en-US"/>
        </w:rPr>
        <w:t xml:space="preserve">: </w:t>
      </w:r>
      <w:r w:rsidR="00E063CA" w:rsidRPr="009B0F6E">
        <w:rPr>
          <w:rFonts w:ascii="Calibri" w:hAnsi="Calibri" w:cs="Calibri"/>
          <w:sz w:val="22"/>
          <w:szCs w:val="22"/>
          <w:lang w:val="en-US"/>
        </w:rPr>
        <w:t>i</w:t>
      </w:r>
      <w:r w:rsidR="00612076" w:rsidRPr="009B0F6E">
        <w:rPr>
          <w:rFonts w:ascii="Calibri" w:hAnsi="Calibri" w:cs="Calibri"/>
          <w:sz w:val="22"/>
          <w:szCs w:val="22"/>
          <w:lang w:val="en-US"/>
        </w:rPr>
        <w:t xml:space="preserve">nsights </w:t>
      </w:r>
      <w:r w:rsidR="00E063CA" w:rsidRPr="009B0F6E">
        <w:rPr>
          <w:rFonts w:ascii="Calibri" w:hAnsi="Calibri" w:cs="Calibri"/>
          <w:sz w:val="22"/>
          <w:szCs w:val="22"/>
          <w:lang w:val="en-US"/>
        </w:rPr>
        <w:t>f</w:t>
      </w:r>
      <w:r w:rsidR="00612076" w:rsidRPr="009B0F6E">
        <w:rPr>
          <w:rFonts w:ascii="Calibri" w:hAnsi="Calibri" w:cs="Calibri"/>
          <w:sz w:val="22"/>
          <w:szCs w:val="22"/>
          <w:lang w:val="en-US"/>
        </w:rPr>
        <w:t xml:space="preserve">rom the NCDR LAAO </w:t>
      </w:r>
      <w:r w:rsidR="00E063CA" w:rsidRPr="009B0F6E">
        <w:rPr>
          <w:rFonts w:ascii="Calibri" w:hAnsi="Calibri" w:cs="Calibri"/>
          <w:sz w:val="22"/>
          <w:szCs w:val="22"/>
          <w:lang w:val="en-US"/>
        </w:rPr>
        <w:t>r</w:t>
      </w:r>
      <w:r w:rsidR="00612076" w:rsidRPr="009B0F6E">
        <w:rPr>
          <w:rFonts w:ascii="Calibri" w:hAnsi="Calibri" w:cs="Calibri"/>
          <w:sz w:val="22"/>
          <w:szCs w:val="22"/>
          <w:lang w:val="en-US"/>
        </w:rPr>
        <w:t>egistry</w:t>
      </w:r>
      <w:r w:rsidRPr="009B0F6E">
        <w:rPr>
          <w:rFonts w:ascii="Calibri" w:hAnsi="Calibri" w:cs="Calibri"/>
          <w:sz w:val="22"/>
          <w:szCs w:val="22"/>
          <w:lang w:val="en-US"/>
        </w:rPr>
        <w:t xml:space="preserve">. </w:t>
      </w:r>
      <w:r w:rsidRPr="009B0F6E">
        <w:rPr>
          <w:rFonts w:ascii="Calibri" w:hAnsi="Calibri" w:cs="Calibri"/>
          <w:i/>
          <w:iCs/>
          <w:sz w:val="22"/>
          <w:szCs w:val="22"/>
          <w:lang w:val="en-US"/>
        </w:rPr>
        <w:t>JACC Clin Electrophysiol</w:t>
      </w:r>
      <w:r w:rsidRPr="009B0F6E">
        <w:rPr>
          <w:rFonts w:ascii="Calibri" w:hAnsi="Calibri" w:cs="Calibri"/>
          <w:sz w:val="22"/>
          <w:szCs w:val="22"/>
          <w:lang w:val="en-US"/>
        </w:rPr>
        <w:t>. 2022</w:t>
      </w:r>
      <w:proofErr w:type="gramStart"/>
      <w:r w:rsidRPr="009B0F6E">
        <w:rPr>
          <w:rFonts w:ascii="Calibri" w:hAnsi="Calibri" w:cs="Calibri"/>
          <w:sz w:val="22"/>
          <w:szCs w:val="22"/>
          <w:lang w:val="en-US"/>
        </w:rPr>
        <w:t>;8</w:t>
      </w:r>
      <w:proofErr w:type="gramEnd"/>
      <w:r w:rsidRPr="009B0F6E">
        <w:rPr>
          <w:rFonts w:ascii="Calibri" w:hAnsi="Calibri" w:cs="Calibri"/>
          <w:sz w:val="22"/>
          <w:szCs w:val="22"/>
          <w:lang w:val="en-US"/>
        </w:rPr>
        <w:t>(6):766</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778. </w:t>
      </w:r>
      <w:hyperlink r:id="rId44" w:history="1">
        <w:r w:rsidR="000C6287" w:rsidRPr="009B0F6E">
          <w:rPr>
            <w:rStyle w:val="Hyperlink"/>
            <w:rFonts w:ascii="Calibri" w:hAnsi="Calibri" w:cs="Calibri"/>
            <w:sz w:val="22"/>
            <w:szCs w:val="22"/>
            <w:lang w:val="en-US"/>
          </w:rPr>
          <w:t>[CrossRef]</w:t>
        </w:r>
      </w:hyperlink>
      <w:r w:rsidR="00D64E54" w:rsidRPr="009B0F6E">
        <w:rPr>
          <w:rFonts w:ascii="Calibri" w:hAnsi="Calibri" w:cs="Calibri"/>
          <w:sz w:val="22"/>
          <w:szCs w:val="22"/>
          <w:lang w:val="en-US"/>
        </w:rPr>
        <w:t xml:space="preserve"> </w:t>
      </w:r>
      <w:hyperlink r:id="rId45" w:history="1">
        <w:r w:rsidR="000C6287" w:rsidRPr="009B0F6E">
          <w:rPr>
            <w:rStyle w:val="Hyperlink"/>
            <w:rFonts w:ascii="Calibri" w:hAnsi="Calibri" w:cs="Calibri"/>
            <w:sz w:val="22"/>
            <w:szCs w:val="22"/>
            <w:lang w:val="en-US"/>
          </w:rPr>
          <w:t>[PubMed]</w:t>
        </w:r>
      </w:hyperlink>
    </w:p>
    <w:p w14:paraId="304836FD" w14:textId="64EC87DD"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Dukkipati SR, Kar S, Holmes DR, et al. Device-</w:t>
      </w:r>
      <w:r w:rsidR="006228D3" w:rsidRPr="009B0F6E">
        <w:rPr>
          <w:rFonts w:ascii="Calibri" w:hAnsi="Calibri" w:cs="Calibri"/>
          <w:sz w:val="22"/>
          <w:szCs w:val="22"/>
          <w:lang w:val="en-US"/>
        </w:rPr>
        <w:t>r</w:t>
      </w:r>
      <w:r w:rsidRPr="009B0F6E">
        <w:rPr>
          <w:rFonts w:ascii="Calibri" w:hAnsi="Calibri" w:cs="Calibri"/>
          <w:sz w:val="22"/>
          <w:szCs w:val="22"/>
          <w:lang w:val="en-US"/>
        </w:rPr>
        <w:t xml:space="preserve">elated </w:t>
      </w:r>
      <w:r w:rsidR="006228D3" w:rsidRPr="009B0F6E">
        <w:rPr>
          <w:rFonts w:ascii="Calibri" w:hAnsi="Calibri" w:cs="Calibri"/>
          <w:sz w:val="22"/>
          <w:szCs w:val="22"/>
          <w:lang w:val="en-US"/>
        </w:rPr>
        <w:t>t</w:t>
      </w:r>
      <w:r w:rsidRPr="009B0F6E">
        <w:rPr>
          <w:rFonts w:ascii="Calibri" w:hAnsi="Calibri" w:cs="Calibri"/>
          <w:sz w:val="22"/>
          <w:szCs w:val="22"/>
          <w:lang w:val="en-US"/>
        </w:rPr>
        <w:t xml:space="preserve">hrombus </w:t>
      </w:r>
      <w:r w:rsidR="006228D3" w:rsidRPr="009B0F6E">
        <w:rPr>
          <w:rFonts w:ascii="Calibri" w:hAnsi="Calibri" w:cs="Calibri"/>
          <w:sz w:val="22"/>
          <w:szCs w:val="22"/>
          <w:lang w:val="en-US"/>
        </w:rPr>
        <w:t>a</w:t>
      </w:r>
      <w:r w:rsidRPr="009B0F6E">
        <w:rPr>
          <w:rFonts w:ascii="Calibri" w:hAnsi="Calibri" w:cs="Calibri"/>
          <w:sz w:val="22"/>
          <w:szCs w:val="22"/>
          <w:lang w:val="en-US"/>
        </w:rPr>
        <w:t xml:space="preserve">fter </w:t>
      </w:r>
      <w:r w:rsidR="006228D3" w:rsidRPr="009B0F6E">
        <w:rPr>
          <w:rFonts w:ascii="Calibri" w:hAnsi="Calibri" w:cs="Calibri"/>
          <w:sz w:val="22"/>
          <w:szCs w:val="22"/>
          <w:lang w:val="en-US"/>
        </w:rPr>
        <w:t>l</w:t>
      </w:r>
      <w:r w:rsidRPr="009B0F6E">
        <w:rPr>
          <w:rFonts w:ascii="Calibri" w:hAnsi="Calibri" w:cs="Calibri"/>
          <w:sz w:val="22"/>
          <w:szCs w:val="22"/>
          <w:lang w:val="en-US"/>
        </w:rPr>
        <w:t xml:space="preserve">eft </w:t>
      </w:r>
      <w:r w:rsidR="006228D3" w:rsidRPr="009B0F6E">
        <w:rPr>
          <w:rFonts w:ascii="Calibri" w:hAnsi="Calibri" w:cs="Calibri"/>
          <w:sz w:val="22"/>
          <w:szCs w:val="22"/>
          <w:lang w:val="en-US"/>
        </w:rPr>
        <w:t>a</w:t>
      </w:r>
      <w:r w:rsidRPr="009B0F6E">
        <w:rPr>
          <w:rFonts w:ascii="Calibri" w:hAnsi="Calibri" w:cs="Calibri"/>
          <w:sz w:val="22"/>
          <w:szCs w:val="22"/>
          <w:lang w:val="en-US"/>
        </w:rPr>
        <w:t xml:space="preserve">trial </w:t>
      </w:r>
      <w:r w:rsidR="006228D3" w:rsidRPr="009B0F6E">
        <w:rPr>
          <w:rFonts w:ascii="Calibri" w:hAnsi="Calibri" w:cs="Calibri"/>
          <w:sz w:val="22"/>
          <w:szCs w:val="22"/>
          <w:lang w:val="en-US"/>
        </w:rPr>
        <w:t>a</w:t>
      </w:r>
      <w:r w:rsidRPr="009B0F6E">
        <w:rPr>
          <w:rFonts w:ascii="Calibri" w:hAnsi="Calibri" w:cs="Calibri"/>
          <w:sz w:val="22"/>
          <w:szCs w:val="22"/>
          <w:lang w:val="en-US"/>
        </w:rPr>
        <w:t xml:space="preserve">ppendage </w:t>
      </w:r>
      <w:r w:rsidR="006228D3" w:rsidRPr="009B0F6E">
        <w:rPr>
          <w:rFonts w:ascii="Calibri" w:hAnsi="Calibri" w:cs="Calibri"/>
          <w:sz w:val="22"/>
          <w:szCs w:val="22"/>
          <w:lang w:val="en-US"/>
        </w:rPr>
        <w:t>c</w:t>
      </w:r>
      <w:r w:rsidRPr="009B0F6E">
        <w:rPr>
          <w:rFonts w:ascii="Calibri" w:hAnsi="Calibri" w:cs="Calibri"/>
          <w:sz w:val="22"/>
          <w:szCs w:val="22"/>
          <w:lang w:val="en-US"/>
        </w:rPr>
        <w:t xml:space="preserve">losure: </w:t>
      </w:r>
      <w:r w:rsidR="006228D3" w:rsidRPr="009B0F6E">
        <w:rPr>
          <w:rFonts w:ascii="Calibri" w:hAnsi="Calibri" w:cs="Calibri"/>
          <w:sz w:val="22"/>
          <w:szCs w:val="22"/>
          <w:lang w:val="en-US"/>
        </w:rPr>
        <w:t>i</w:t>
      </w:r>
      <w:r w:rsidRPr="009B0F6E">
        <w:rPr>
          <w:rFonts w:ascii="Calibri" w:hAnsi="Calibri" w:cs="Calibri"/>
          <w:sz w:val="22"/>
          <w:szCs w:val="22"/>
          <w:lang w:val="en-US"/>
        </w:rPr>
        <w:t xml:space="preserve">ncidence, </w:t>
      </w:r>
      <w:r w:rsidR="006228D3" w:rsidRPr="009B0F6E">
        <w:rPr>
          <w:rFonts w:ascii="Calibri" w:hAnsi="Calibri" w:cs="Calibri"/>
          <w:sz w:val="22"/>
          <w:szCs w:val="22"/>
          <w:lang w:val="en-US"/>
        </w:rPr>
        <w:t>p</w:t>
      </w:r>
      <w:r w:rsidRPr="009B0F6E">
        <w:rPr>
          <w:rFonts w:ascii="Calibri" w:hAnsi="Calibri" w:cs="Calibri"/>
          <w:sz w:val="22"/>
          <w:szCs w:val="22"/>
          <w:lang w:val="en-US"/>
        </w:rPr>
        <w:t xml:space="preserve">redictors, and </w:t>
      </w:r>
      <w:r w:rsidR="006228D3" w:rsidRPr="009B0F6E">
        <w:rPr>
          <w:rFonts w:ascii="Calibri" w:hAnsi="Calibri" w:cs="Calibri"/>
          <w:sz w:val="22"/>
          <w:szCs w:val="22"/>
          <w:lang w:val="en-US"/>
        </w:rPr>
        <w:t>o</w:t>
      </w:r>
      <w:r w:rsidRPr="009B0F6E">
        <w:rPr>
          <w:rFonts w:ascii="Calibri" w:hAnsi="Calibri" w:cs="Calibri"/>
          <w:sz w:val="22"/>
          <w:szCs w:val="22"/>
          <w:lang w:val="en-US"/>
        </w:rPr>
        <w:t xml:space="preserve">utcomes. </w:t>
      </w:r>
      <w:r w:rsidRPr="009B0F6E">
        <w:rPr>
          <w:rFonts w:ascii="Calibri" w:hAnsi="Calibri" w:cs="Calibri"/>
          <w:i/>
          <w:iCs/>
          <w:sz w:val="22"/>
          <w:szCs w:val="22"/>
          <w:lang w:val="en-US"/>
        </w:rPr>
        <w:t>Circulation</w:t>
      </w:r>
      <w:r w:rsidRPr="009B0F6E">
        <w:rPr>
          <w:rFonts w:ascii="Calibri" w:hAnsi="Calibri" w:cs="Calibri"/>
          <w:sz w:val="22"/>
          <w:szCs w:val="22"/>
          <w:lang w:val="en-US"/>
        </w:rPr>
        <w:t>. 2018</w:t>
      </w:r>
      <w:proofErr w:type="gramStart"/>
      <w:r w:rsidRPr="009B0F6E">
        <w:rPr>
          <w:rFonts w:ascii="Calibri" w:hAnsi="Calibri" w:cs="Calibri"/>
          <w:sz w:val="22"/>
          <w:szCs w:val="22"/>
          <w:lang w:val="en-US"/>
        </w:rPr>
        <w:t>;138</w:t>
      </w:r>
      <w:proofErr w:type="gramEnd"/>
      <w:r w:rsidRPr="009B0F6E">
        <w:rPr>
          <w:rFonts w:ascii="Calibri" w:hAnsi="Calibri" w:cs="Calibri"/>
          <w:sz w:val="22"/>
          <w:szCs w:val="22"/>
          <w:lang w:val="en-US"/>
        </w:rPr>
        <w:t>(9):874</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885. </w:t>
      </w:r>
      <w:hyperlink r:id="rId46" w:history="1">
        <w:r w:rsidR="000C6287" w:rsidRPr="009B0F6E">
          <w:rPr>
            <w:rStyle w:val="Hyperlink"/>
            <w:rFonts w:ascii="Calibri" w:hAnsi="Calibri" w:cs="Calibri"/>
            <w:sz w:val="22"/>
            <w:szCs w:val="22"/>
            <w:lang w:val="en-US"/>
          </w:rPr>
          <w:t>[CrossRef]</w:t>
        </w:r>
      </w:hyperlink>
      <w:r w:rsidR="006228D3" w:rsidRPr="009B0F6E">
        <w:rPr>
          <w:rFonts w:ascii="Calibri" w:hAnsi="Calibri" w:cs="Calibri"/>
          <w:sz w:val="22"/>
          <w:szCs w:val="22"/>
          <w:lang w:val="en-US"/>
        </w:rPr>
        <w:t xml:space="preserve"> </w:t>
      </w:r>
      <w:hyperlink r:id="rId47" w:history="1">
        <w:r w:rsidR="000C6287" w:rsidRPr="009B0F6E">
          <w:rPr>
            <w:rStyle w:val="Hyperlink"/>
            <w:rFonts w:ascii="Calibri" w:hAnsi="Calibri" w:cs="Calibri"/>
            <w:sz w:val="22"/>
            <w:szCs w:val="22"/>
            <w:lang w:val="en-US"/>
          </w:rPr>
          <w:t>[PubMed]</w:t>
        </w:r>
      </w:hyperlink>
    </w:p>
    <w:p w14:paraId="304836FE" w14:textId="495A0737"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Kapadia SR, Yeh RW, Price MJ, et al. Outcomes </w:t>
      </w:r>
      <w:r w:rsidR="00FA6882" w:rsidRPr="009B0F6E">
        <w:rPr>
          <w:rFonts w:ascii="Calibri" w:hAnsi="Calibri" w:cs="Calibri"/>
          <w:sz w:val="22"/>
          <w:szCs w:val="22"/>
          <w:lang w:val="en-US"/>
        </w:rPr>
        <w:t>w</w:t>
      </w:r>
      <w:r w:rsidRPr="009B0F6E">
        <w:rPr>
          <w:rFonts w:ascii="Calibri" w:hAnsi="Calibri" w:cs="Calibri"/>
          <w:sz w:val="22"/>
          <w:szCs w:val="22"/>
          <w:lang w:val="en-US"/>
        </w:rPr>
        <w:t xml:space="preserve">ith the WATCHMAN FLX in </w:t>
      </w:r>
      <w:r w:rsidR="00FA6882" w:rsidRPr="009B0F6E">
        <w:rPr>
          <w:rFonts w:ascii="Calibri" w:hAnsi="Calibri" w:cs="Calibri"/>
          <w:sz w:val="22"/>
          <w:szCs w:val="22"/>
          <w:lang w:val="en-US"/>
        </w:rPr>
        <w:t>e</w:t>
      </w:r>
      <w:r w:rsidRPr="009B0F6E">
        <w:rPr>
          <w:rFonts w:ascii="Calibri" w:hAnsi="Calibri" w:cs="Calibri"/>
          <w:sz w:val="22"/>
          <w:szCs w:val="22"/>
          <w:lang w:val="en-US"/>
        </w:rPr>
        <w:t xml:space="preserve">veryday </w:t>
      </w:r>
      <w:r w:rsidR="00FA6882" w:rsidRPr="009B0F6E">
        <w:rPr>
          <w:rFonts w:ascii="Calibri" w:hAnsi="Calibri" w:cs="Calibri"/>
          <w:sz w:val="22"/>
          <w:szCs w:val="22"/>
          <w:lang w:val="en-US"/>
        </w:rPr>
        <w:t>c</w:t>
      </w:r>
      <w:r w:rsidRPr="009B0F6E">
        <w:rPr>
          <w:rFonts w:ascii="Calibri" w:hAnsi="Calibri" w:cs="Calibri"/>
          <w:sz w:val="22"/>
          <w:szCs w:val="22"/>
          <w:lang w:val="en-US"/>
        </w:rPr>
        <w:t xml:space="preserve">linical </w:t>
      </w:r>
      <w:r w:rsidR="00FA6882" w:rsidRPr="009B0F6E">
        <w:rPr>
          <w:rFonts w:ascii="Calibri" w:hAnsi="Calibri" w:cs="Calibri"/>
          <w:sz w:val="22"/>
          <w:szCs w:val="22"/>
          <w:lang w:val="en-US"/>
        </w:rPr>
        <w:t>p</w:t>
      </w:r>
      <w:r w:rsidRPr="009B0F6E">
        <w:rPr>
          <w:rFonts w:ascii="Calibri" w:hAnsi="Calibri" w:cs="Calibri"/>
          <w:sz w:val="22"/>
          <w:szCs w:val="22"/>
          <w:lang w:val="en-US"/>
        </w:rPr>
        <w:t xml:space="preserve">ractice </w:t>
      </w:r>
      <w:r w:rsidR="00FA6882" w:rsidRPr="009B0F6E">
        <w:rPr>
          <w:rFonts w:ascii="Calibri" w:hAnsi="Calibri" w:cs="Calibri"/>
          <w:sz w:val="22"/>
          <w:szCs w:val="22"/>
          <w:lang w:val="en-US"/>
        </w:rPr>
        <w:t>f</w:t>
      </w:r>
      <w:r w:rsidRPr="009B0F6E">
        <w:rPr>
          <w:rFonts w:ascii="Calibri" w:hAnsi="Calibri" w:cs="Calibri"/>
          <w:sz w:val="22"/>
          <w:szCs w:val="22"/>
          <w:lang w:val="en-US"/>
        </w:rPr>
        <w:t xml:space="preserve">rom the NCDR </w:t>
      </w:r>
      <w:r w:rsidR="00FA6882" w:rsidRPr="009B0F6E">
        <w:rPr>
          <w:rFonts w:ascii="Calibri" w:hAnsi="Calibri" w:cs="Calibri"/>
          <w:sz w:val="22"/>
          <w:szCs w:val="22"/>
          <w:lang w:val="en-US"/>
        </w:rPr>
        <w:t>l</w:t>
      </w:r>
      <w:r w:rsidRPr="009B0F6E">
        <w:rPr>
          <w:rFonts w:ascii="Calibri" w:hAnsi="Calibri" w:cs="Calibri"/>
          <w:sz w:val="22"/>
          <w:szCs w:val="22"/>
          <w:lang w:val="en-US"/>
        </w:rPr>
        <w:t xml:space="preserve">eft </w:t>
      </w:r>
      <w:r w:rsidR="00FA6882" w:rsidRPr="009B0F6E">
        <w:rPr>
          <w:rFonts w:ascii="Calibri" w:hAnsi="Calibri" w:cs="Calibri"/>
          <w:sz w:val="22"/>
          <w:szCs w:val="22"/>
          <w:lang w:val="en-US"/>
        </w:rPr>
        <w:t>a</w:t>
      </w:r>
      <w:r w:rsidRPr="009B0F6E">
        <w:rPr>
          <w:rFonts w:ascii="Calibri" w:hAnsi="Calibri" w:cs="Calibri"/>
          <w:sz w:val="22"/>
          <w:szCs w:val="22"/>
          <w:lang w:val="en-US"/>
        </w:rPr>
        <w:t xml:space="preserve">trial </w:t>
      </w:r>
      <w:r w:rsidR="00FA6882" w:rsidRPr="009B0F6E">
        <w:rPr>
          <w:rFonts w:ascii="Calibri" w:hAnsi="Calibri" w:cs="Calibri"/>
          <w:sz w:val="22"/>
          <w:szCs w:val="22"/>
          <w:lang w:val="en-US"/>
        </w:rPr>
        <w:t>a</w:t>
      </w:r>
      <w:r w:rsidRPr="009B0F6E">
        <w:rPr>
          <w:rFonts w:ascii="Calibri" w:hAnsi="Calibri" w:cs="Calibri"/>
          <w:sz w:val="22"/>
          <w:szCs w:val="22"/>
          <w:lang w:val="en-US"/>
        </w:rPr>
        <w:t xml:space="preserve">ppendage </w:t>
      </w:r>
      <w:r w:rsidR="00FA6882" w:rsidRPr="009B0F6E">
        <w:rPr>
          <w:rFonts w:ascii="Calibri" w:hAnsi="Calibri" w:cs="Calibri"/>
          <w:sz w:val="22"/>
          <w:szCs w:val="22"/>
          <w:lang w:val="en-US"/>
        </w:rPr>
        <w:t>o</w:t>
      </w:r>
      <w:r w:rsidRPr="009B0F6E">
        <w:rPr>
          <w:rFonts w:ascii="Calibri" w:hAnsi="Calibri" w:cs="Calibri"/>
          <w:sz w:val="22"/>
          <w:szCs w:val="22"/>
          <w:lang w:val="en-US"/>
        </w:rPr>
        <w:t xml:space="preserve">cclusion </w:t>
      </w:r>
      <w:r w:rsidR="00FA6882" w:rsidRPr="009B0F6E">
        <w:rPr>
          <w:rFonts w:ascii="Calibri" w:hAnsi="Calibri" w:cs="Calibri"/>
          <w:sz w:val="22"/>
          <w:szCs w:val="22"/>
          <w:lang w:val="en-US"/>
        </w:rPr>
        <w:t>r</w:t>
      </w:r>
      <w:r w:rsidRPr="009B0F6E">
        <w:rPr>
          <w:rFonts w:ascii="Calibri" w:hAnsi="Calibri" w:cs="Calibri"/>
          <w:sz w:val="22"/>
          <w:szCs w:val="22"/>
          <w:lang w:val="en-US"/>
        </w:rPr>
        <w:t xml:space="preserve">egistry. </w:t>
      </w:r>
      <w:r w:rsidRPr="009B0F6E">
        <w:rPr>
          <w:rFonts w:ascii="Calibri" w:hAnsi="Calibri" w:cs="Calibri"/>
          <w:i/>
          <w:iCs/>
          <w:sz w:val="22"/>
          <w:szCs w:val="22"/>
          <w:lang w:val="en-US"/>
        </w:rPr>
        <w:t>Circ Cardiovasc Interv</w:t>
      </w:r>
      <w:r w:rsidRPr="009B0F6E">
        <w:rPr>
          <w:rFonts w:ascii="Calibri" w:hAnsi="Calibri" w:cs="Calibri"/>
          <w:sz w:val="22"/>
          <w:szCs w:val="22"/>
          <w:lang w:val="en-US"/>
        </w:rPr>
        <w:t>. 2024</w:t>
      </w:r>
      <w:proofErr w:type="gramStart"/>
      <w:r w:rsidRPr="009B0F6E">
        <w:rPr>
          <w:rFonts w:ascii="Calibri" w:hAnsi="Calibri" w:cs="Calibri"/>
          <w:sz w:val="22"/>
          <w:szCs w:val="22"/>
          <w:lang w:val="en-US"/>
        </w:rPr>
        <w:t>;17</w:t>
      </w:r>
      <w:proofErr w:type="gramEnd"/>
      <w:r w:rsidRPr="009B0F6E">
        <w:rPr>
          <w:rFonts w:ascii="Calibri" w:hAnsi="Calibri" w:cs="Calibri"/>
          <w:sz w:val="22"/>
          <w:szCs w:val="22"/>
          <w:lang w:val="en-US"/>
        </w:rPr>
        <w:t xml:space="preserve">(9):e013750. </w:t>
      </w:r>
      <w:hyperlink r:id="rId48" w:history="1">
        <w:r w:rsidR="000C6287" w:rsidRPr="009B0F6E">
          <w:rPr>
            <w:rStyle w:val="Hyperlink"/>
            <w:rFonts w:ascii="Calibri" w:hAnsi="Calibri" w:cs="Calibri"/>
            <w:sz w:val="22"/>
            <w:szCs w:val="22"/>
            <w:lang w:val="en-US"/>
          </w:rPr>
          <w:t>[CrossRef]</w:t>
        </w:r>
      </w:hyperlink>
      <w:r w:rsidR="00FA6882" w:rsidRPr="009B0F6E">
        <w:rPr>
          <w:rFonts w:ascii="Calibri" w:hAnsi="Calibri" w:cs="Calibri"/>
          <w:sz w:val="22"/>
          <w:szCs w:val="22"/>
          <w:lang w:val="en-US"/>
        </w:rPr>
        <w:t xml:space="preserve"> </w:t>
      </w:r>
      <w:hyperlink r:id="rId49" w:history="1">
        <w:r w:rsidR="000C6287" w:rsidRPr="009B0F6E">
          <w:rPr>
            <w:rStyle w:val="Hyperlink"/>
            <w:rFonts w:ascii="Calibri" w:hAnsi="Calibri" w:cs="Calibri"/>
            <w:sz w:val="22"/>
            <w:szCs w:val="22"/>
            <w:lang w:val="en-US"/>
          </w:rPr>
          <w:t>[PubMed]</w:t>
        </w:r>
      </w:hyperlink>
    </w:p>
    <w:p w14:paraId="304836FF" w14:textId="5BE91AA6"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Piccini JP, Zeitler EP, </w:t>
      </w:r>
      <w:proofErr w:type="gramStart"/>
      <w:r w:rsidRPr="009B0F6E">
        <w:rPr>
          <w:rFonts w:ascii="Calibri" w:hAnsi="Calibri" w:cs="Calibri"/>
          <w:sz w:val="22"/>
          <w:szCs w:val="22"/>
          <w:lang w:val="en-US"/>
        </w:rPr>
        <w:t>Yeh</w:t>
      </w:r>
      <w:proofErr w:type="gramEnd"/>
      <w:r w:rsidRPr="009B0F6E">
        <w:rPr>
          <w:rFonts w:ascii="Calibri" w:hAnsi="Calibri" w:cs="Calibri"/>
          <w:sz w:val="22"/>
          <w:szCs w:val="22"/>
          <w:lang w:val="en-US"/>
        </w:rPr>
        <w:t xml:space="preserve"> R, et al. PO-02-184</w:t>
      </w:r>
      <w:r w:rsidR="00CC4C18">
        <w:rPr>
          <w:rFonts w:ascii="Calibri" w:hAnsi="Calibri" w:cs="Calibri"/>
          <w:sz w:val="22"/>
          <w:szCs w:val="22"/>
          <w:lang w:val="en-US"/>
        </w:rPr>
        <w:t>:</w:t>
      </w:r>
      <w:r w:rsidRPr="009B0F6E">
        <w:rPr>
          <w:rFonts w:ascii="Calibri" w:hAnsi="Calibri" w:cs="Calibri"/>
          <w:sz w:val="22"/>
          <w:szCs w:val="22"/>
          <w:lang w:val="en-US"/>
        </w:rPr>
        <w:t xml:space="preserve"> O</w:t>
      </w:r>
      <w:r w:rsidR="00CD0F7A" w:rsidRPr="009B0F6E">
        <w:rPr>
          <w:rFonts w:ascii="Calibri" w:hAnsi="Calibri" w:cs="Calibri"/>
          <w:sz w:val="22"/>
          <w:szCs w:val="22"/>
          <w:lang w:val="en-US"/>
        </w:rPr>
        <w:t>utcomes with</w:t>
      </w:r>
      <w:r w:rsidRPr="009B0F6E">
        <w:rPr>
          <w:rFonts w:ascii="Calibri" w:hAnsi="Calibri" w:cs="Calibri"/>
          <w:sz w:val="22"/>
          <w:szCs w:val="22"/>
          <w:lang w:val="en-US"/>
        </w:rPr>
        <w:t xml:space="preserve"> WATCHMAN FLX P</w:t>
      </w:r>
      <w:r w:rsidR="00CD0F7A" w:rsidRPr="009B0F6E">
        <w:rPr>
          <w:rFonts w:ascii="Calibri" w:hAnsi="Calibri" w:cs="Calibri"/>
          <w:sz w:val="22"/>
          <w:szCs w:val="22"/>
          <w:lang w:val="en-US"/>
        </w:rPr>
        <w:t>ro</w:t>
      </w:r>
      <w:r w:rsidRPr="009B0F6E">
        <w:rPr>
          <w:rFonts w:ascii="Calibri" w:hAnsi="Calibri" w:cs="Calibri"/>
          <w:sz w:val="22"/>
          <w:szCs w:val="22"/>
          <w:lang w:val="en-US"/>
        </w:rPr>
        <w:t xml:space="preserve"> </w:t>
      </w:r>
      <w:r w:rsidR="00CD0F7A" w:rsidRPr="009B0F6E">
        <w:rPr>
          <w:rFonts w:ascii="Calibri" w:hAnsi="Calibri" w:cs="Calibri"/>
          <w:sz w:val="22"/>
          <w:szCs w:val="22"/>
          <w:lang w:val="en-US"/>
        </w:rPr>
        <w:t xml:space="preserve">in everyday clinical practice: early results from </w:t>
      </w:r>
      <w:r w:rsidRPr="009B0F6E">
        <w:rPr>
          <w:rFonts w:ascii="Calibri" w:hAnsi="Calibri" w:cs="Calibri"/>
          <w:sz w:val="22"/>
          <w:szCs w:val="22"/>
          <w:lang w:val="en-US"/>
        </w:rPr>
        <w:t>SURPASS P</w:t>
      </w:r>
      <w:r w:rsidR="00CD0F7A" w:rsidRPr="009B0F6E">
        <w:rPr>
          <w:rFonts w:ascii="Calibri" w:hAnsi="Calibri" w:cs="Calibri"/>
          <w:sz w:val="22"/>
          <w:szCs w:val="22"/>
          <w:lang w:val="en-US"/>
        </w:rPr>
        <w:t>ro</w:t>
      </w:r>
      <w:r w:rsidRPr="009B0F6E">
        <w:rPr>
          <w:rFonts w:ascii="Calibri" w:hAnsi="Calibri" w:cs="Calibri"/>
          <w:sz w:val="22"/>
          <w:szCs w:val="22"/>
          <w:lang w:val="en-US"/>
        </w:rPr>
        <w:t xml:space="preserve">. </w:t>
      </w:r>
      <w:r w:rsidRPr="009B0F6E">
        <w:rPr>
          <w:rFonts w:ascii="Calibri" w:hAnsi="Calibri" w:cs="Calibri"/>
          <w:i/>
          <w:iCs/>
          <w:sz w:val="22"/>
          <w:szCs w:val="22"/>
          <w:lang w:val="en-US"/>
        </w:rPr>
        <w:t>Heart Rhythm</w:t>
      </w:r>
      <w:r w:rsidRPr="009B0F6E">
        <w:rPr>
          <w:rFonts w:ascii="Calibri" w:hAnsi="Calibri" w:cs="Calibri"/>
          <w:sz w:val="22"/>
          <w:szCs w:val="22"/>
          <w:lang w:val="en-US"/>
        </w:rPr>
        <w:t>. 2025</w:t>
      </w:r>
      <w:proofErr w:type="gramStart"/>
      <w:r w:rsidRPr="009B0F6E">
        <w:rPr>
          <w:rFonts w:ascii="Calibri" w:hAnsi="Calibri" w:cs="Calibri"/>
          <w:sz w:val="22"/>
          <w:szCs w:val="22"/>
          <w:lang w:val="en-US"/>
        </w:rPr>
        <w:t>;22</w:t>
      </w:r>
      <w:proofErr w:type="gramEnd"/>
      <w:r w:rsidRPr="009B0F6E">
        <w:rPr>
          <w:rFonts w:ascii="Calibri" w:hAnsi="Calibri" w:cs="Calibri"/>
          <w:sz w:val="22"/>
          <w:szCs w:val="22"/>
          <w:lang w:val="en-US"/>
        </w:rPr>
        <w:t xml:space="preserve">(4):S318. </w:t>
      </w:r>
      <w:hyperlink r:id="rId50" w:history="1">
        <w:r w:rsidR="000C6287" w:rsidRPr="009B0F6E">
          <w:rPr>
            <w:rStyle w:val="Hyperlink"/>
            <w:rFonts w:ascii="Calibri" w:hAnsi="Calibri" w:cs="Calibri"/>
            <w:sz w:val="22"/>
            <w:szCs w:val="22"/>
            <w:lang w:val="en-US"/>
          </w:rPr>
          <w:t>[CrossRef]</w:t>
        </w:r>
      </w:hyperlink>
    </w:p>
    <w:p w14:paraId="30483700" w14:textId="3B10084D"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Tzikas A, Shakir S, Gafoor S, et al. Left atrial appendage occlusion for stroke prevention in atrial fibrillation: multicentre experience with the AMPLATZER Cardiac Plug. </w:t>
      </w:r>
      <w:hyperlink r:id="rId51" w:history="1">
        <w:r w:rsidR="000C6287" w:rsidRPr="009B0F6E">
          <w:rPr>
            <w:rStyle w:val="Hyperlink"/>
            <w:rFonts w:ascii="Calibri" w:hAnsi="Calibri" w:cs="Calibri"/>
            <w:sz w:val="22"/>
            <w:szCs w:val="22"/>
            <w:lang w:val="en-US"/>
          </w:rPr>
          <w:t>[CrossRef]</w:t>
        </w:r>
      </w:hyperlink>
      <w:r w:rsidR="00863253" w:rsidRPr="009B0F6E">
        <w:rPr>
          <w:rFonts w:ascii="Calibri" w:hAnsi="Calibri" w:cs="Calibri"/>
          <w:sz w:val="22"/>
          <w:szCs w:val="22"/>
          <w:lang w:val="en-US"/>
        </w:rPr>
        <w:t xml:space="preserve"> </w:t>
      </w:r>
      <w:hyperlink r:id="rId52" w:history="1">
        <w:r w:rsidR="000C6287" w:rsidRPr="009B0F6E">
          <w:rPr>
            <w:rStyle w:val="Hyperlink"/>
            <w:rFonts w:ascii="Calibri" w:hAnsi="Calibri" w:cs="Calibri"/>
            <w:sz w:val="22"/>
            <w:szCs w:val="22"/>
            <w:lang w:val="en-US"/>
          </w:rPr>
          <w:t>[PubMed]</w:t>
        </w:r>
      </w:hyperlink>
    </w:p>
    <w:p w14:paraId="30483701" w14:textId="16B89A07"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Freixa X, Chan JL, Tzikas A, Garceau P, Basmadjian A, Ibrahim R. The Amplatzer</w:t>
      </w:r>
      <w:r w:rsidR="00E15CEF" w:rsidRPr="009B0F6E">
        <w:rPr>
          <w:rFonts w:ascii="Calibri" w:hAnsi="Calibri" w:cs="Calibri"/>
          <w:sz w:val="22"/>
          <w:szCs w:val="22"/>
          <w:lang w:val="en-US"/>
        </w:rPr>
        <w:t>™</w:t>
      </w:r>
      <w:r w:rsidRPr="009B0F6E">
        <w:rPr>
          <w:rFonts w:ascii="Calibri" w:hAnsi="Calibri" w:cs="Calibri"/>
          <w:sz w:val="22"/>
          <w:szCs w:val="22"/>
          <w:lang w:val="en-US"/>
        </w:rPr>
        <w:t xml:space="preserve"> Cardiac Plug 2 for left atrial appendage occlusion: novel features and first-in-man experience. </w:t>
      </w:r>
      <w:r w:rsidR="00CF5A02" w:rsidRPr="001E0E29">
        <w:rPr>
          <w:rFonts w:ascii="Calibri" w:hAnsi="Calibri" w:cs="Calibri"/>
          <w:i/>
          <w:sz w:val="22"/>
          <w:szCs w:val="22"/>
          <w:lang w:val="en-US"/>
        </w:rPr>
        <w:t>EuroIntervention</w:t>
      </w:r>
      <w:r w:rsidR="00CF5A02" w:rsidRPr="009B0F6E">
        <w:rPr>
          <w:rFonts w:ascii="Calibri" w:hAnsi="Calibri" w:cs="Calibri"/>
          <w:sz w:val="22"/>
          <w:szCs w:val="22"/>
          <w:lang w:val="en-US"/>
        </w:rPr>
        <w:t>. 2013</w:t>
      </w:r>
      <w:proofErr w:type="gramStart"/>
      <w:r w:rsidR="00CF5A02" w:rsidRPr="009B0F6E">
        <w:rPr>
          <w:rFonts w:ascii="Calibri" w:hAnsi="Calibri" w:cs="Calibri"/>
          <w:sz w:val="22"/>
          <w:szCs w:val="22"/>
          <w:lang w:val="en-US"/>
        </w:rPr>
        <w:t>;8</w:t>
      </w:r>
      <w:proofErr w:type="gramEnd"/>
      <w:r w:rsidR="00CF5A02" w:rsidRPr="009B0F6E">
        <w:rPr>
          <w:rFonts w:ascii="Calibri" w:hAnsi="Calibri" w:cs="Calibri"/>
          <w:sz w:val="22"/>
          <w:szCs w:val="22"/>
          <w:lang w:val="en-US"/>
        </w:rPr>
        <w:t>(9):1094</w:t>
      </w:r>
      <w:r w:rsidR="008B795B" w:rsidRPr="009B0F6E">
        <w:rPr>
          <w:rFonts w:ascii="Calibri" w:hAnsi="Calibri" w:cs="Calibri"/>
          <w:sz w:val="22"/>
          <w:szCs w:val="22"/>
          <w:lang w:val="en-US"/>
        </w:rPr>
        <w:t>–</w:t>
      </w:r>
      <w:r w:rsidR="00CF5A02" w:rsidRPr="009B0F6E">
        <w:rPr>
          <w:rFonts w:ascii="Calibri" w:hAnsi="Calibri" w:cs="Calibri"/>
          <w:sz w:val="22"/>
          <w:szCs w:val="22"/>
          <w:lang w:val="en-US"/>
        </w:rPr>
        <w:t>1098.</w:t>
      </w:r>
      <w:r w:rsidRPr="009B0F6E">
        <w:rPr>
          <w:rFonts w:ascii="Calibri" w:hAnsi="Calibri" w:cs="Calibri"/>
          <w:sz w:val="22"/>
          <w:szCs w:val="22"/>
          <w:lang w:val="en-US"/>
        </w:rPr>
        <w:t xml:space="preserve"> </w:t>
      </w:r>
      <w:hyperlink r:id="rId53" w:history="1">
        <w:r w:rsidR="000C6287" w:rsidRPr="009B0F6E">
          <w:rPr>
            <w:rStyle w:val="Hyperlink"/>
            <w:rFonts w:ascii="Calibri" w:hAnsi="Calibri" w:cs="Calibri"/>
            <w:sz w:val="22"/>
            <w:szCs w:val="22"/>
            <w:lang w:val="en-US"/>
          </w:rPr>
          <w:t>[CrossRef]</w:t>
        </w:r>
      </w:hyperlink>
      <w:r w:rsidR="00CF5A02" w:rsidRPr="009B0F6E">
        <w:rPr>
          <w:rFonts w:ascii="Calibri" w:hAnsi="Calibri" w:cs="Calibri"/>
          <w:sz w:val="22"/>
          <w:szCs w:val="22"/>
          <w:lang w:val="en-US"/>
        </w:rPr>
        <w:t xml:space="preserve"> </w:t>
      </w:r>
      <w:hyperlink r:id="rId54" w:history="1">
        <w:r w:rsidR="000C6287" w:rsidRPr="009B0F6E">
          <w:rPr>
            <w:rStyle w:val="Hyperlink"/>
            <w:rFonts w:ascii="Calibri" w:hAnsi="Calibri" w:cs="Calibri"/>
            <w:sz w:val="22"/>
            <w:szCs w:val="22"/>
            <w:lang w:val="en-US"/>
          </w:rPr>
          <w:t>[PubMed]</w:t>
        </w:r>
      </w:hyperlink>
    </w:p>
    <w:p w14:paraId="30483702" w14:textId="6211A7D9"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Landmesser U, Tondo C, Camm J, et al. Left atrial appendage occlusion with the AMPLATZER Amulet device: one-year follow-up from the prospective global Amulet observational registry. </w:t>
      </w:r>
      <w:r w:rsidRPr="009B0F6E">
        <w:rPr>
          <w:rFonts w:ascii="Calibri" w:hAnsi="Calibri" w:cs="Calibri"/>
          <w:i/>
          <w:iCs/>
          <w:sz w:val="22"/>
          <w:szCs w:val="22"/>
          <w:lang w:val="en-US"/>
        </w:rPr>
        <w:t>EuroIntervention</w:t>
      </w:r>
      <w:r w:rsidRPr="009B0F6E">
        <w:rPr>
          <w:rFonts w:ascii="Calibri" w:hAnsi="Calibri" w:cs="Calibri"/>
          <w:sz w:val="22"/>
          <w:szCs w:val="22"/>
          <w:lang w:val="en-US"/>
        </w:rPr>
        <w:t>. 2018</w:t>
      </w:r>
      <w:proofErr w:type="gramStart"/>
      <w:r w:rsidRPr="009B0F6E">
        <w:rPr>
          <w:rFonts w:ascii="Calibri" w:hAnsi="Calibri" w:cs="Calibri"/>
          <w:sz w:val="22"/>
          <w:szCs w:val="22"/>
          <w:lang w:val="en-US"/>
        </w:rPr>
        <w:t>;14</w:t>
      </w:r>
      <w:proofErr w:type="gramEnd"/>
      <w:r w:rsidRPr="009B0F6E">
        <w:rPr>
          <w:rFonts w:ascii="Calibri" w:hAnsi="Calibri" w:cs="Calibri"/>
          <w:sz w:val="22"/>
          <w:szCs w:val="22"/>
          <w:lang w:val="en-US"/>
        </w:rPr>
        <w:t xml:space="preserve">(5):e590-e597. </w:t>
      </w:r>
      <w:hyperlink r:id="rId55" w:history="1">
        <w:r w:rsidR="000C6287" w:rsidRPr="009B0F6E">
          <w:rPr>
            <w:rStyle w:val="Hyperlink"/>
            <w:rFonts w:ascii="Calibri" w:hAnsi="Calibri" w:cs="Calibri"/>
            <w:sz w:val="22"/>
            <w:szCs w:val="22"/>
            <w:lang w:val="en-US"/>
          </w:rPr>
          <w:t>[CrossRef]</w:t>
        </w:r>
      </w:hyperlink>
      <w:r w:rsidR="00E04DAC" w:rsidRPr="009B0F6E">
        <w:rPr>
          <w:rFonts w:ascii="Calibri" w:hAnsi="Calibri" w:cs="Calibri"/>
          <w:sz w:val="22"/>
          <w:szCs w:val="22"/>
          <w:lang w:val="en-US"/>
        </w:rPr>
        <w:t xml:space="preserve"> </w:t>
      </w:r>
      <w:hyperlink r:id="rId56" w:history="1">
        <w:r w:rsidR="000C6287" w:rsidRPr="009B0F6E">
          <w:rPr>
            <w:rStyle w:val="Hyperlink"/>
            <w:rFonts w:ascii="Calibri" w:hAnsi="Calibri" w:cs="Calibri"/>
            <w:sz w:val="22"/>
            <w:szCs w:val="22"/>
            <w:lang w:val="en-US"/>
          </w:rPr>
          <w:t>[PubMed]</w:t>
        </w:r>
      </w:hyperlink>
    </w:p>
    <w:p w14:paraId="30483703" w14:textId="16748BB6"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Lakkireddy D, Thaler D, Ellis CR, et al. Amplatzer </w:t>
      </w:r>
      <w:r w:rsidR="00F56FEB" w:rsidRPr="009B0F6E">
        <w:rPr>
          <w:rFonts w:ascii="Calibri" w:hAnsi="Calibri" w:cs="Calibri"/>
          <w:sz w:val="22"/>
          <w:szCs w:val="22"/>
          <w:lang w:val="en-US"/>
        </w:rPr>
        <w:t>a</w:t>
      </w:r>
      <w:r w:rsidRPr="009B0F6E">
        <w:rPr>
          <w:rFonts w:ascii="Calibri" w:hAnsi="Calibri" w:cs="Calibri"/>
          <w:sz w:val="22"/>
          <w:szCs w:val="22"/>
          <w:lang w:val="en-US"/>
        </w:rPr>
        <w:t xml:space="preserve">mulet </w:t>
      </w:r>
      <w:r w:rsidR="00F56FEB" w:rsidRPr="009B0F6E">
        <w:rPr>
          <w:rFonts w:ascii="Calibri" w:hAnsi="Calibri" w:cs="Calibri"/>
          <w:sz w:val="22"/>
          <w:szCs w:val="22"/>
          <w:lang w:val="en-US"/>
        </w:rPr>
        <w:t>l</w:t>
      </w:r>
      <w:r w:rsidRPr="009B0F6E">
        <w:rPr>
          <w:rFonts w:ascii="Calibri" w:hAnsi="Calibri" w:cs="Calibri"/>
          <w:sz w:val="22"/>
          <w:szCs w:val="22"/>
          <w:lang w:val="en-US"/>
        </w:rPr>
        <w:t xml:space="preserve">eft </w:t>
      </w:r>
      <w:r w:rsidR="00F56FEB" w:rsidRPr="009B0F6E">
        <w:rPr>
          <w:rFonts w:ascii="Calibri" w:hAnsi="Calibri" w:cs="Calibri"/>
          <w:sz w:val="22"/>
          <w:szCs w:val="22"/>
          <w:lang w:val="en-US"/>
        </w:rPr>
        <w:t>a</w:t>
      </w:r>
      <w:r w:rsidRPr="009B0F6E">
        <w:rPr>
          <w:rFonts w:ascii="Calibri" w:hAnsi="Calibri" w:cs="Calibri"/>
          <w:sz w:val="22"/>
          <w:szCs w:val="22"/>
          <w:lang w:val="en-US"/>
        </w:rPr>
        <w:t xml:space="preserve">trial </w:t>
      </w:r>
      <w:r w:rsidR="00F56FEB" w:rsidRPr="009B0F6E">
        <w:rPr>
          <w:rFonts w:ascii="Calibri" w:hAnsi="Calibri" w:cs="Calibri"/>
          <w:sz w:val="22"/>
          <w:szCs w:val="22"/>
          <w:lang w:val="en-US"/>
        </w:rPr>
        <w:t>a</w:t>
      </w:r>
      <w:r w:rsidRPr="009B0F6E">
        <w:rPr>
          <w:rFonts w:ascii="Calibri" w:hAnsi="Calibri" w:cs="Calibri"/>
          <w:sz w:val="22"/>
          <w:szCs w:val="22"/>
          <w:lang w:val="en-US"/>
        </w:rPr>
        <w:t xml:space="preserve">ppendage </w:t>
      </w:r>
      <w:r w:rsidR="00F56FEB" w:rsidRPr="009B0F6E">
        <w:rPr>
          <w:rFonts w:ascii="Calibri" w:hAnsi="Calibri" w:cs="Calibri"/>
          <w:sz w:val="22"/>
          <w:szCs w:val="22"/>
          <w:lang w:val="en-US"/>
        </w:rPr>
        <w:t>o</w:t>
      </w:r>
      <w:r w:rsidRPr="009B0F6E">
        <w:rPr>
          <w:rFonts w:ascii="Calibri" w:hAnsi="Calibri" w:cs="Calibri"/>
          <w:sz w:val="22"/>
          <w:szCs w:val="22"/>
          <w:lang w:val="en-US"/>
        </w:rPr>
        <w:t xml:space="preserve">ccluder </w:t>
      </w:r>
      <w:r w:rsidR="00F56FEB" w:rsidRPr="009B0F6E">
        <w:rPr>
          <w:rFonts w:ascii="Calibri" w:hAnsi="Calibri" w:cs="Calibri"/>
          <w:sz w:val="22"/>
          <w:szCs w:val="22"/>
          <w:lang w:val="en-US"/>
        </w:rPr>
        <w:t>v</w:t>
      </w:r>
      <w:r w:rsidRPr="009B0F6E">
        <w:rPr>
          <w:rFonts w:ascii="Calibri" w:hAnsi="Calibri" w:cs="Calibri"/>
          <w:sz w:val="22"/>
          <w:szCs w:val="22"/>
          <w:lang w:val="en-US"/>
        </w:rPr>
        <w:t xml:space="preserve">ersus Watchman </w:t>
      </w:r>
      <w:r w:rsidR="00F56FEB" w:rsidRPr="009B0F6E">
        <w:rPr>
          <w:rFonts w:ascii="Calibri" w:hAnsi="Calibri" w:cs="Calibri"/>
          <w:sz w:val="22"/>
          <w:szCs w:val="22"/>
          <w:lang w:val="en-US"/>
        </w:rPr>
        <w:t>d</w:t>
      </w:r>
      <w:r w:rsidRPr="009B0F6E">
        <w:rPr>
          <w:rFonts w:ascii="Calibri" w:hAnsi="Calibri" w:cs="Calibri"/>
          <w:sz w:val="22"/>
          <w:szCs w:val="22"/>
          <w:lang w:val="en-US"/>
        </w:rPr>
        <w:t xml:space="preserve">evice for </w:t>
      </w:r>
      <w:r w:rsidR="00F56FEB" w:rsidRPr="009B0F6E">
        <w:rPr>
          <w:rFonts w:ascii="Calibri" w:hAnsi="Calibri" w:cs="Calibri"/>
          <w:sz w:val="22"/>
          <w:szCs w:val="22"/>
          <w:lang w:val="en-US"/>
        </w:rPr>
        <w:t>s</w:t>
      </w:r>
      <w:r w:rsidRPr="009B0F6E">
        <w:rPr>
          <w:rFonts w:ascii="Calibri" w:hAnsi="Calibri" w:cs="Calibri"/>
          <w:sz w:val="22"/>
          <w:szCs w:val="22"/>
          <w:lang w:val="en-US"/>
        </w:rPr>
        <w:t xml:space="preserve">troke </w:t>
      </w:r>
      <w:r w:rsidR="00F56FEB" w:rsidRPr="009B0F6E">
        <w:rPr>
          <w:rFonts w:ascii="Calibri" w:hAnsi="Calibri" w:cs="Calibri"/>
          <w:sz w:val="22"/>
          <w:szCs w:val="22"/>
          <w:lang w:val="en-US"/>
        </w:rPr>
        <w:t>p</w:t>
      </w:r>
      <w:r w:rsidRPr="009B0F6E">
        <w:rPr>
          <w:rFonts w:ascii="Calibri" w:hAnsi="Calibri" w:cs="Calibri"/>
          <w:sz w:val="22"/>
          <w:szCs w:val="22"/>
          <w:lang w:val="en-US"/>
        </w:rPr>
        <w:t xml:space="preserve">rophylaxis (Amulet IDE): </w:t>
      </w:r>
      <w:r w:rsidR="00F56FEB" w:rsidRPr="009B0F6E">
        <w:rPr>
          <w:rFonts w:ascii="Calibri" w:hAnsi="Calibri" w:cs="Calibri"/>
          <w:sz w:val="22"/>
          <w:szCs w:val="22"/>
          <w:lang w:val="en-US"/>
        </w:rPr>
        <w:t>a</w:t>
      </w:r>
      <w:r w:rsidRPr="009B0F6E">
        <w:rPr>
          <w:rFonts w:ascii="Calibri" w:hAnsi="Calibri" w:cs="Calibri"/>
          <w:sz w:val="22"/>
          <w:szCs w:val="22"/>
          <w:lang w:val="en-US"/>
        </w:rPr>
        <w:t xml:space="preserve"> </w:t>
      </w:r>
      <w:r w:rsidR="00F56FEB" w:rsidRPr="009B0F6E">
        <w:rPr>
          <w:rFonts w:ascii="Calibri" w:hAnsi="Calibri" w:cs="Calibri"/>
          <w:sz w:val="22"/>
          <w:szCs w:val="22"/>
          <w:lang w:val="en-US"/>
        </w:rPr>
        <w:t>r</w:t>
      </w:r>
      <w:r w:rsidRPr="009B0F6E">
        <w:rPr>
          <w:rFonts w:ascii="Calibri" w:hAnsi="Calibri" w:cs="Calibri"/>
          <w:sz w:val="22"/>
          <w:szCs w:val="22"/>
          <w:lang w:val="en-US"/>
        </w:rPr>
        <w:t xml:space="preserve">andomized, </w:t>
      </w:r>
      <w:r w:rsidR="00F56FEB" w:rsidRPr="009B0F6E">
        <w:rPr>
          <w:rFonts w:ascii="Calibri" w:hAnsi="Calibri" w:cs="Calibri"/>
          <w:sz w:val="22"/>
          <w:szCs w:val="22"/>
          <w:lang w:val="en-US"/>
        </w:rPr>
        <w:t>c</w:t>
      </w:r>
      <w:r w:rsidRPr="009B0F6E">
        <w:rPr>
          <w:rFonts w:ascii="Calibri" w:hAnsi="Calibri" w:cs="Calibri"/>
          <w:sz w:val="22"/>
          <w:szCs w:val="22"/>
          <w:lang w:val="en-US"/>
        </w:rPr>
        <w:t xml:space="preserve">ontrolled </w:t>
      </w:r>
      <w:r w:rsidR="00F56FEB" w:rsidRPr="009B0F6E">
        <w:rPr>
          <w:rFonts w:ascii="Calibri" w:hAnsi="Calibri" w:cs="Calibri"/>
          <w:sz w:val="22"/>
          <w:szCs w:val="22"/>
          <w:lang w:val="en-US"/>
        </w:rPr>
        <w:t>t</w:t>
      </w:r>
      <w:r w:rsidRPr="009B0F6E">
        <w:rPr>
          <w:rFonts w:ascii="Calibri" w:hAnsi="Calibri" w:cs="Calibri"/>
          <w:sz w:val="22"/>
          <w:szCs w:val="22"/>
          <w:lang w:val="en-US"/>
        </w:rPr>
        <w:t xml:space="preserve">rial. </w:t>
      </w:r>
      <w:r w:rsidRPr="009B0F6E">
        <w:rPr>
          <w:rFonts w:ascii="Calibri" w:hAnsi="Calibri" w:cs="Calibri"/>
          <w:i/>
          <w:iCs/>
          <w:sz w:val="22"/>
          <w:szCs w:val="22"/>
          <w:lang w:val="en-US"/>
        </w:rPr>
        <w:t>Circulation</w:t>
      </w:r>
      <w:r w:rsidRPr="009B0F6E">
        <w:rPr>
          <w:rFonts w:ascii="Calibri" w:hAnsi="Calibri" w:cs="Calibri"/>
          <w:sz w:val="22"/>
          <w:szCs w:val="22"/>
          <w:lang w:val="en-US"/>
        </w:rPr>
        <w:t>. 2021</w:t>
      </w:r>
      <w:proofErr w:type="gramStart"/>
      <w:r w:rsidRPr="009B0F6E">
        <w:rPr>
          <w:rFonts w:ascii="Calibri" w:hAnsi="Calibri" w:cs="Calibri"/>
          <w:sz w:val="22"/>
          <w:szCs w:val="22"/>
          <w:lang w:val="en-US"/>
        </w:rPr>
        <w:t>;144</w:t>
      </w:r>
      <w:proofErr w:type="gramEnd"/>
      <w:r w:rsidRPr="009B0F6E">
        <w:rPr>
          <w:rFonts w:ascii="Calibri" w:hAnsi="Calibri" w:cs="Calibri"/>
          <w:sz w:val="22"/>
          <w:szCs w:val="22"/>
          <w:lang w:val="en-US"/>
        </w:rPr>
        <w:t>(19):1543</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1552. </w:t>
      </w:r>
      <w:hyperlink r:id="rId57" w:history="1">
        <w:r w:rsidR="000C6287" w:rsidRPr="009B0F6E">
          <w:rPr>
            <w:rStyle w:val="Hyperlink"/>
            <w:rFonts w:ascii="Calibri" w:hAnsi="Calibri" w:cs="Calibri"/>
            <w:sz w:val="22"/>
            <w:szCs w:val="22"/>
            <w:lang w:val="en-US"/>
          </w:rPr>
          <w:t>[CrossRef]</w:t>
        </w:r>
      </w:hyperlink>
      <w:r w:rsidR="00F56FEB" w:rsidRPr="009B0F6E">
        <w:rPr>
          <w:rFonts w:ascii="Calibri" w:hAnsi="Calibri" w:cs="Calibri"/>
          <w:sz w:val="22"/>
          <w:szCs w:val="22"/>
          <w:lang w:val="en-US"/>
        </w:rPr>
        <w:t xml:space="preserve"> </w:t>
      </w:r>
      <w:hyperlink r:id="rId58" w:history="1">
        <w:r w:rsidR="000C6287" w:rsidRPr="009B0F6E">
          <w:rPr>
            <w:rStyle w:val="Hyperlink"/>
            <w:rFonts w:ascii="Calibri" w:hAnsi="Calibri" w:cs="Calibri"/>
            <w:sz w:val="22"/>
            <w:szCs w:val="22"/>
            <w:lang w:val="en-US"/>
          </w:rPr>
          <w:t>[PubMed]</w:t>
        </w:r>
      </w:hyperlink>
    </w:p>
    <w:p w14:paraId="30483704" w14:textId="58EA26CE"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Lakkireddy D, Ellis CR, Thaler D, et al. 5-Year </w:t>
      </w:r>
      <w:r w:rsidR="00AC08C3" w:rsidRPr="009B0F6E">
        <w:rPr>
          <w:rFonts w:ascii="Calibri" w:hAnsi="Calibri" w:cs="Calibri"/>
          <w:sz w:val="22"/>
          <w:szCs w:val="22"/>
          <w:lang w:val="en-US"/>
        </w:rPr>
        <w:t>r</w:t>
      </w:r>
      <w:r w:rsidRPr="009B0F6E">
        <w:rPr>
          <w:rFonts w:ascii="Calibri" w:hAnsi="Calibri" w:cs="Calibri"/>
          <w:sz w:val="22"/>
          <w:szCs w:val="22"/>
          <w:lang w:val="en-US"/>
        </w:rPr>
        <w:t xml:space="preserve">esults </w:t>
      </w:r>
      <w:r w:rsidR="00AC08C3" w:rsidRPr="009B0F6E">
        <w:rPr>
          <w:rFonts w:ascii="Calibri" w:hAnsi="Calibri" w:cs="Calibri"/>
          <w:sz w:val="22"/>
          <w:szCs w:val="22"/>
          <w:lang w:val="en-US"/>
        </w:rPr>
        <w:t>f</w:t>
      </w:r>
      <w:r w:rsidRPr="009B0F6E">
        <w:rPr>
          <w:rFonts w:ascii="Calibri" w:hAnsi="Calibri" w:cs="Calibri"/>
          <w:sz w:val="22"/>
          <w:szCs w:val="22"/>
          <w:lang w:val="en-US"/>
        </w:rPr>
        <w:t xml:space="preserve">rom the AMPLATZER </w:t>
      </w:r>
      <w:r w:rsidR="00AC08C3" w:rsidRPr="009B0F6E">
        <w:rPr>
          <w:rFonts w:ascii="Calibri" w:hAnsi="Calibri" w:cs="Calibri"/>
          <w:sz w:val="22"/>
          <w:szCs w:val="22"/>
          <w:lang w:val="en-US"/>
        </w:rPr>
        <w:t>a</w:t>
      </w:r>
      <w:r w:rsidRPr="009B0F6E">
        <w:rPr>
          <w:rFonts w:ascii="Calibri" w:hAnsi="Calibri" w:cs="Calibri"/>
          <w:sz w:val="22"/>
          <w:szCs w:val="22"/>
          <w:lang w:val="en-US"/>
        </w:rPr>
        <w:t xml:space="preserve">mulet </w:t>
      </w:r>
      <w:r w:rsidR="00AC08C3" w:rsidRPr="009B0F6E">
        <w:rPr>
          <w:rFonts w:ascii="Calibri" w:hAnsi="Calibri" w:cs="Calibri"/>
          <w:sz w:val="22"/>
          <w:szCs w:val="22"/>
          <w:lang w:val="en-US"/>
        </w:rPr>
        <w:t>l</w:t>
      </w:r>
      <w:r w:rsidRPr="009B0F6E">
        <w:rPr>
          <w:rFonts w:ascii="Calibri" w:hAnsi="Calibri" w:cs="Calibri"/>
          <w:sz w:val="22"/>
          <w:szCs w:val="22"/>
          <w:lang w:val="en-US"/>
        </w:rPr>
        <w:t xml:space="preserve">eft </w:t>
      </w:r>
      <w:r w:rsidR="00AC08C3" w:rsidRPr="009B0F6E">
        <w:rPr>
          <w:rFonts w:ascii="Calibri" w:hAnsi="Calibri" w:cs="Calibri"/>
          <w:sz w:val="22"/>
          <w:szCs w:val="22"/>
          <w:lang w:val="en-US"/>
        </w:rPr>
        <w:t>a</w:t>
      </w:r>
      <w:r w:rsidRPr="009B0F6E">
        <w:rPr>
          <w:rFonts w:ascii="Calibri" w:hAnsi="Calibri" w:cs="Calibri"/>
          <w:sz w:val="22"/>
          <w:szCs w:val="22"/>
          <w:lang w:val="en-US"/>
        </w:rPr>
        <w:t xml:space="preserve">trial </w:t>
      </w:r>
      <w:r w:rsidR="00AC08C3" w:rsidRPr="009B0F6E">
        <w:rPr>
          <w:rFonts w:ascii="Calibri" w:hAnsi="Calibri" w:cs="Calibri"/>
          <w:sz w:val="22"/>
          <w:szCs w:val="22"/>
          <w:lang w:val="en-US"/>
        </w:rPr>
        <w:t>a</w:t>
      </w:r>
      <w:r w:rsidRPr="009B0F6E">
        <w:rPr>
          <w:rFonts w:ascii="Calibri" w:hAnsi="Calibri" w:cs="Calibri"/>
          <w:sz w:val="22"/>
          <w:szCs w:val="22"/>
          <w:lang w:val="en-US"/>
        </w:rPr>
        <w:t xml:space="preserve">ppendage </w:t>
      </w:r>
      <w:r w:rsidR="00AC08C3" w:rsidRPr="009B0F6E">
        <w:rPr>
          <w:rFonts w:ascii="Calibri" w:hAnsi="Calibri" w:cs="Calibri"/>
          <w:sz w:val="22"/>
          <w:szCs w:val="22"/>
          <w:lang w:val="en-US"/>
        </w:rPr>
        <w:t>o</w:t>
      </w:r>
      <w:r w:rsidRPr="009B0F6E">
        <w:rPr>
          <w:rFonts w:ascii="Calibri" w:hAnsi="Calibri" w:cs="Calibri"/>
          <w:sz w:val="22"/>
          <w:szCs w:val="22"/>
          <w:lang w:val="en-US"/>
        </w:rPr>
        <w:t xml:space="preserve">ccluder </w:t>
      </w:r>
      <w:r w:rsidR="00AC08C3" w:rsidRPr="009B0F6E">
        <w:rPr>
          <w:rFonts w:ascii="Calibri" w:hAnsi="Calibri" w:cs="Calibri"/>
          <w:sz w:val="22"/>
          <w:szCs w:val="22"/>
          <w:lang w:val="en-US"/>
        </w:rPr>
        <w:t>r</w:t>
      </w:r>
      <w:r w:rsidRPr="009B0F6E">
        <w:rPr>
          <w:rFonts w:ascii="Calibri" w:hAnsi="Calibri" w:cs="Calibri"/>
          <w:sz w:val="22"/>
          <w:szCs w:val="22"/>
          <w:lang w:val="en-US"/>
        </w:rPr>
        <w:t xml:space="preserve">andomized </w:t>
      </w:r>
      <w:r w:rsidR="00AC08C3" w:rsidRPr="009B0F6E">
        <w:rPr>
          <w:rFonts w:ascii="Calibri" w:hAnsi="Calibri" w:cs="Calibri"/>
          <w:sz w:val="22"/>
          <w:szCs w:val="22"/>
          <w:lang w:val="en-US"/>
        </w:rPr>
        <w:t>c</w:t>
      </w:r>
      <w:r w:rsidRPr="009B0F6E">
        <w:rPr>
          <w:rFonts w:ascii="Calibri" w:hAnsi="Calibri" w:cs="Calibri"/>
          <w:sz w:val="22"/>
          <w:szCs w:val="22"/>
          <w:lang w:val="en-US"/>
        </w:rPr>
        <w:t xml:space="preserve">ontrolled </w:t>
      </w:r>
      <w:r w:rsidR="00AC08C3" w:rsidRPr="009B0F6E">
        <w:rPr>
          <w:rFonts w:ascii="Calibri" w:hAnsi="Calibri" w:cs="Calibri"/>
          <w:sz w:val="22"/>
          <w:szCs w:val="22"/>
          <w:lang w:val="en-US"/>
        </w:rPr>
        <w:t>t</w:t>
      </w:r>
      <w:r w:rsidRPr="009B0F6E">
        <w:rPr>
          <w:rFonts w:ascii="Calibri" w:hAnsi="Calibri" w:cs="Calibri"/>
          <w:sz w:val="22"/>
          <w:szCs w:val="22"/>
          <w:lang w:val="en-US"/>
        </w:rPr>
        <w:t xml:space="preserve">rial. </w:t>
      </w:r>
      <w:r w:rsidRPr="009B0F6E">
        <w:rPr>
          <w:rFonts w:ascii="Calibri" w:hAnsi="Calibri" w:cs="Calibri"/>
          <w:i/>
          <w:iCs/>
          <w:sz w:val="22"/>
          <w:szCs w:val="22"/>
          <w:lang w:val="en-US"/>
        </w:rPr>
        <w:t>J</w:t>
      </w:r>
      <w:r w:rsidR="00F56FD1" w:rsidRPr="009B0F6E">
        <w:rPr>
          <w:rFonts w:ascii="Calibri" w:hAnsi="Calibri" w:cs="Calibri"/>
          <w:i/>
          <w:iCs/>
          <w:sz w:val="22"/>
          <w:szCs w:val="22"/>
          <w:lang w:val="en-US"/>
        </w:rPr>
        <w:t xml:space="preserve"> </w:t>
      </w:r>
      <w:r w:rsidRPr="009B0F6E">
        <w:rPr>
          <w:rFonts w:ascii="Calibri" w:hAnsi="Calibri" w:cs="Calibri"/>
          <w:i/>
          <w:iCs/>
          <w:sz w:val="22"/>
          <w:szCs w:val="22"/>
          <w:lang w:val="en-US"/>
        </w:rPr>
        <w:t>A</w:t>
      </w:r>
      <w:r w:rsidR="00F56FD1" w:rsidRPr="009B0F6E">
        <w:rPr>
          <w:rFonts w:ascii="Calibri" w:hAnsi="Calibri" w:cs="Calibri"/>
          <w:i/>
          <w:iCs/>
          <w:sz w:val="22"/>
          <w:szCs w:val="22"/>
          <w:lang w:val="en-US"/>
        </w:rPr>
        <w:t xml:space="preserve">m </w:t>
      </w:r>
      <w:r w:rsidRPr="009B0F6E">
        <w:rPr>
          <w:rFonts w:ascii="Calibri" w:hAnsi="Calibri" w:cs="Calibri"/>
          <w:i/>
          <w:iCs/>
          <w:sz w:val="22"/>
          <w:szCs w:val="22"/>
          <w:lang w:val="en-US"/>
        </w:rPr>
        <w:t>C</w:t>
      </w:r>
      <w:r w:rsidR="00F56FD1" w:rsidRPr="009B0F6E">
        <w:rPr>
          <w:rFonts w:ascii="Calibri" w:hAnsi="Calibri" w:cs="Calibri"/>
          <w:i/>
          <w:iCs/>
          <w:sz w:val="22"/>
          <w:szCs w:val="22"/>
          <w:lang w:val="en-US"/>
        </w:rPr>
        <w:t xml:space="preserve">oll </w:t>
      </w:r>
      <w:r w:rsidRPr="009B0F6E">
        <w:rPr>
          <w:rFonts w:ascii="Calibri" w:hAnsi="Calibri" w:cs="Calibri"/>
          <w:i/>
          <w:iCs/>
          <w:sz w:val="22"/>
          <w:szCs w:val="22"/>
          <w:lang w:val="en-US"/>
        </w:rPr>
        <w:t>C</w:t>
      </w:r>
      <w:r w:rsidR="00F56FD1" w:rsidRPr="009B0F6E">
        <w:rPr>
          <w:rFonts w:ascii="Calibri" w:hAnsi="Calibri" w:cs="Calibri"/>
          <w:i/>
          <w:iCs/>
          <w:sz w:val="22"/>
          <w:szCs w:val="22"/>
          <w:lang w:val="en-US"/>
        </w:rPr>
        <w:t>ardiol</w:t>
      </w:r>
      <w:r w:rsidRPr="009B0F6E">
        <w:rPr>
          <w:rFonts w:ascii="Calibri" w:hAnsi="Calibri" w:cs="Calibri"/>
          <w:sz w:val="22"/>
          <w:szCs w:val="22"/>
          <w:lang w:val="en-US"/>
        </w:rPr>
        <w:t>. 2025</w:t>
      </w:r>
      <w:proofErr w:type="gramStart"/>
      <w:r w:rsidRPr="009B0F6E">
        <w:rPr>
          <w:rFonts w:ascii="Calibri" w:hAnsi="Calibri" w:cs="Calibri"/>
          <w:sz w:val="22"/>
          <w:szCs w:val="22"/>
          <w:lang w:val="en-US"/>
        </w:rPr>
        <w:t>;85</w:t>
      </w:r>
      <w:proofErr w:type="gramEnd"/>
      <w:r w:rsidRPr="009B0F6E">
        <w:rPr>
          <w:rFonts w:ascii="Calibri" w:hAnsi="Calibri" w:cs="Calibri"/>
          <w:sz w:val="22"/>
          <w:szCs w:val="22"/>
          <w:lang w:val="en-US"/>
        </w:rPr>
        <w:t>(11):1141</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1153. </w:t>
      </w:r>
      <w:hyperlink r:id="rId59" w:history="1">
        <w:r w:rsidR="000C6287" w:rsidRPr="009B0F6E">
          <w:rPr>
            <w:rStyle w:val="Hyperlink"/>
            <w:rFonts w:ascii="Calibri" w:hAnsi="Calibri" w:cs="Calibri"/>
            <w:sz w:val="22"/>
            <w:szCs w:val="22"/>
            <w:lang w:val="en-US"/>
          </w:rPr>
          <w:t>[CrossRef]</w:t>
        </w:r>
      </w:hyperlink>
      <w:r w:rsidR="00F56FD1" w:rsidRPr="009B0F6E">
        <w:rPr>
          <w:rFonts w:ascii="Calibri" w:hAnsi="Calibri" w:cs="Calibri"/>
          <w:sz w:val="22"/>
          <w:szCs w:val="22"/>
          <w:lang w:val="en-US"/>
        </w:rPr>
        <w:t xml:space="preserve"> </w:t>
      </w:r>
      <w:hyperlink r:id="rId60" w:history="1">
        <w:r w:rsidR="000C6287" w:rsidRPr="009B0F6E">
          <w:rPr>
            <w:rStyle w:val="Hyperlink"/>
            <w:rFonts w:ascii="Calibri" w:hAnsi="Calibri" w:cs="Calibri"/>
            <w:sz w:val="22"/>
            <w:szCs w:val="22"/>
            <w:lang w:val="en-US"/>
          </w:rPr>
          <w:t>[PubMed]</w:t>
        </w:r>
      </w:hyperlink>
    </w:p>
    <w:p w14:paraId="30483705" w14:textId="02EE9CEF"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Price MJ, Friedman DJ, Du C, et al. Comparative </w:t>
      </w:r>
      <w:r w:rsidR="009A603E" w:rsidRPr="009B0F6E">
        <w:rPr>
          <w:rFonts w:ascii="Calibri" w:hAnsi="Calibri" w:cs="Calibri"/>
          <w:sz w:val="22"/>
          <w:szCs w:val="22"/>
          <w:lang w:val="en-US"/>
        </w:rPr>
        <w:t>s</w:t>
      </w:r>
      <w:r w:rsidRPr="009B0F6E">
        <w:rPr>
          <w:rFonts w:ascii="Calibri" w:hAnsi="Calibri" w:cs="Calibri"/>
          <w:sz w:val="22"/>
          <w:szCs w:val="22"/>
          <w:lang w:val="en-US"/>
        </w:rPr>
        <w:t xml:space="preserve">afety of </w:t>
      </w:r>
      <w:r w:rsidR="009A603E" w:rsidRPr="009B0F6E">
        <w:rPr>
          <w:rFonts w:ascii="Calibri" w:hAnsi="Calibri" w:cs="Calibri"/>
          <w:sz w:val="22"/>
          <w:szCs w:val="22"/>
          <w:lang w:val="en-US"/>
        </w:rPr>
        <w:t>t</w:t>
      </w:r>
      <w:r w:rsidRPr="009B0F6E">
        <w:rPr>
          <w:rFonts w:ascii="Calibri" w:hAnsi="Calibri" w:cs="Calibri"/>
          <w:sz w:val="22"/>
          <w:szCs w:val="22"/>
          <w:lang w:val="en-US"/>
        </w:rPr>
        <w:t xml:space="preserve">ranscatheter LAAO </w:t>
      </w:r>
      <w:r w:rsidR="009A603E" w:rsidRPr="009B0F6E">
        <w:rPr>
          <w:rFonts w:ascii="Calibri" w:hAnsi="Calibri" w:cs="Calibri"/>
          <w:sz w:val="22"/>
          <w:szCs w:val="22"/>
          <w:lang w:val="en-US"/>
        </w:rPr>
        <w:t>w</w:t>
      </w:r>
      <w:r w:rsidRPr="009B0F6E">
        <w:rPr>
          <w:rFonts w:ascii="Calibri" w:hAnsi="Calibri" w:cs="Calibri"/>
          <w:sz w:val="22"/>
          <w:szCs w:val="22"/>
          <w:lang w:val="en-US"/>
        </w:rPr>
        <w:t xml:space="preserve">ith the </w:t>
      </w:r>
      <w:r w:rsidR="009A603E" w:rsidRPr="009B0F6E">
        <w:rPr>
          <w:rFonts w:ascii="Calibri" w:hAnsi="Calibri" w:cs="Calibri"/>
          <w:sz w:val="22"/>
          <w:szCs w:val="22"/>
          <w:lang w:val="en-US"/>
        </w:rPr>
        <w:t>f</w:t>
      </w:r>
      <w:r w:rsidRPr="009B0F6E">
        <w:rPr>
          <w:rFonts w:ascii="Calibri" w:hAnsi="Calibri" w:cs="Calibri"/>
          <w:sz w:val="22"/>
          <w:szCs w:val="22"/>
          <w:lang w:val="en-US"/>
        </w:rPr>
        <w:t>irst-</w:t>
      </w:r>
      <w:r w:rsidR="00416834" w:rsidRPr="009B0F6E">
        <w:rPr>
          <w:rFonts w:ascii="Calibri" w:hAnsi="Calibri" w:cs="Calibri"/>
          <w:sz w:val="22"/>
          <w:szCs w:val="22"/>
          <w:lang w:val="en-US"/>
        </w:rPr>
        <w:t>g</w:t>
      </w:r>
      <w:r w:rsidRPr="009B0F6E">
        <w:rPr>
          <w:rFonts w:ascii="Calibri" w:hAnsi="Calibri" w:cs="Calibri"/>
          <w:sz w:val="22"/>
          <w:szCs w:val="22"/>
          <w:lang w:val="en-US"/>
        </w:rPr>
        <w:t xml:space="preserve">eneration Watchman and </w:t>
      </w:r>
      <w:r w:rsidR="00416834" w:rsidRPr="009B0F6E">
        <w:rPr>
          <w:rFonts w:ascii="Calibri" w:hAnsi="Calibri" w:cs="Calibri"/>
          <w:sz w:val="22"/>
          <w:szCs w:val="22"/>
          <w:lang w:val="en-US"/>
        </w:rPr>
        <w:t>n</w:t>
      </w:r>
      <w:r w:rsidRPr="009B0F6E">
        <w:rPr>
          <w:rFonts w:ascii="Calibri" w:hAnsi="Calibri" w:cs="Calibri"/>
          <w:sz w:val="22"/>
          <w:szCs w:val="22"/>
          <w:lang w:val="en-US"/>
        </w:rPr>
        <w:t>ext-</w:t>
      </w:r>
      <w:r w:rsidR="00416834" w:rsidRPr="009B0F6E">
        <w:rPr>
          <w:rFonts w:ascii="Calibri" w:hAnsi="Calibri" w:cs="Calibri"/>
          <w:sz w:val="22"/>
          <w:szCs w:val="22"/>
          <w:lang w:val="en-US"/>
        </w:rPr>
        <w:t>g</w:t>
      </w:r>
      <w:r w:rsidRPr="009B0F6E">
        <w:rPr>
          <w:rFonts w:ascii="Calibri" w:hAnsi="Calibri" w:cs="Calibri"/>
          <w:sz w:val="22"/>
          <w:szCs w:val="22"/>
          <w:lang w:val="en-US"/>
        </w:rPr>
        <w:t xml:space="preserve">eneration Watchman FLX </w:t>
      </w:r>
      <w:r w:rsidR="00416834" w:rsidRPr="009B0F6E">
        <w:rPr>
          <w:rFonts w:ascii="Calibri" w:hAnsi="Calibri" w:cs="Calibri"/>
          <w:sz w:val="22"/>
          <w:szCs w:val="22"/>
          <w:lang w:val="en-US"/>
        </w:rPr>
        <w:t>d</w:t>
      </w:r>
      <w:r w:rsidRPr="009B0F6E">
        <w:rPr>
          <w:rFonts w:ascii="Calibri" w:hAnsi="Calibri" w:cs="Calibri"/>
          <w:sz w:val="22"/>
          <w:szCs w:val="22"/>
          <w:lang w:val="en-US"/>
        </w:rPr>
        <w:t xml:space="preserve">evices. </w:t>
      </w:r>
      <w:r w:rsidRPr="009B0F6E">
        <w:rPr>
          <w:rFonts w:ascii="Calibri" w:hAnsi="Calibri" w:cs="Calibri"/>
          <w:i/>
          <w:iCs/>
          <w:sz w:val="22"/>
          <w:szCs w:val="22"/>
          <w:lang w:val="en-US"/>
        </w:rPr>
        <w:t>JACC Cardiovasc Interv</w:t>
      </w:r>
      <w:r w:rsidRPr="009B0F6E">
        <w:rPr>
          <w:rFonts w:ascii="Calibri" w:hAnsi="Calibri" w:cs="Calibri"/>
          <w:sz w:val="22"/>
          <w:szCs w:val="22"/>
          <w:lang w:val="en-US"/>
        </w:rPr>
        <w:t>. 2022</w:t>
      </w:r>
      <w:proofErr w:type="gramStart"/>
      <w:r w:rsidRPr="009B0F6E">
        <w:rPr>
          <w:rFonts w:ascii="Calibri" w:hAnsi="Calibri" w:cs="Calibri"/>
          <w:sz w:val="22"/>
          <w:szCs w:val="22"/>
          <w:lang w:val="en-US"/>
        </w:rPr>
        <w:t>;15</w:t>
      </w:r>
      <w:proofErr w:type="gramEnd"/>
      <w:r w:rsidRPr="009B0F6E">
        <w:rPr>
          <w:rFonts w:ascii="Calibri" w:hAnsi="Calibri" w:cs="Calibri"/>
          <w:sz w:val="22"/>
          <w:szCs w:val="22"/>
          <w:lang w:val="en-US"/>
        </w:rPr>
        <w:t>(21):2115</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2123. </w:t>
      </w:r>
      <w:hyperlink r:id="rId61" w:history="1">
        <w:r w:rsidR="000C6287" w:rsidRPr="009B0F6E">
          <w:rPr>
            <w:rStyle w:val="Hyperlink"/>
            <w:rFonts w:ascii="Calibri" w:hAnsi="Calibri" w:cs="Calibri"/>
            <w:sz w:val="22"/>
            <w:szCs w:val="22"/>
            <w:lang w:val="en-US"/>
          </w:rPr>
          <w:t>[CrossRef]</w:t>
        </w:r>
      </w:hyperlink>
      <w:r w:rsidR="00C73B6B" w:rsidRPr="009B0F6E">
        <w:rPr>
          <w:rFonts w:ascii="Calibri" w:hAnsi="Calibri" w:cs="Calibri"/>
          <w:sz w:val="22"/>
          <w:szCs w:val="22"/>
          <w:lang w:val="en-US"/>
        </w:rPr>
        <w:t xml:space="preserve"> </w:t>
      </w:r>
      <w:hyperlink r:id="rId62" w:history="1">
        <w:r w:rsidR="000C6287" w:rsidRPr="009B0F6E">
          <w:rPr>
            <w:rStyle w:val="Hyperlink"/>
            <w:rFonts w:ascii="Calibri" w:hAnsi="Calibri" w:cs="Calibri"/>
            <w:sz w:val="22"/>
            <w:szCs w:val="22"/>
            <w:lang w:val="en-US"/>
          </w:rPr>
          <w:t>[PubMed]</w:t>
        </w:r>
      </w:hyperlink>
    </w:p>
    <w:p w14:paraId="30483706" w14:textId="7258816C"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Galea R, De Marco F, Meneveau N, et al. Amulet or Watchman </w:t>
      </w:r>
      <w:r w:rsidR="00303D9D" w:rsidRPr="009B0F6E">
        <w:rPr>
          <w:rFonts w:ascii="Calibri" w:hAnsi="Calibri" w:cs="Calibri"/>
          <w:sz w:val="22"/>
          <w:szCs w:val="22"/>
          <w:lang w:val="en-US"/>
        </w:rPr>
        <w:t>d</w:t>
      </w:r>
      <w:r w:rsidRPr="009B0F6E">
        <w:rPr>
          <w:rFonts w:ascii="Calibri" w:hAnsi="Calibri" w:cs="Calibri"/>
          <w:sz w:val="22"/>
          <w:szCs w:val="22"/>
          <w:lang w:val="en-US"/>
        </w:rPr>
        <w:t xml:space="preserve">evice for </w:t>
      </w:r>
      <w:r w:rsidR="00303D9D" w:rsidRPr="009B0F6E">
        <w:rPr>
          <w:rFonts w:ascii="Calibri" w:hAnsi="Calibri" w:cs="Calibri"/>
          <w:sz w:val="22"/>
          <w:szCs w:val="22"/>
          <w:lang w:val="en-US"/>
        </w:rPr>
        <w:t>p</w:t>
      </w:r>
      <w:r w:rsidRPr="009B0F6E">
        <w:rPr>
          <w:rFonts w:ascii="Calibri" w:hAnsi="Calibri" w:cs="Calibri"/>
          <w:sz w:val="22"/>
          <w:szCs w:val="22"/>
          <w:lang w:val="en-US"/>
        </w:rPr>
        <w:t xml:space="preserve">ercutaneous </w:t>
      </w:r>
      <w:r w:rsidR="00303D9D" w:rsidRPr="009B0F6E">
        <w:rPr>
          <w:rFonts w:ascii="Calibri" w:hAnsi="Calibri" w:cs="Calibri"/>
          <w:sz w:val="22"/>
          <w:szCs w:val="22"/>
          <w:lang w:val="en-US"/>
        </w:rPr>
        <w:t>l</w:t>
      </w:r>
      <w:r w:rsidRPr="009B0F6E">
        <w:rPr>
          <w:rFonts w:ascii="Calibri" w:hAnsi="Calibri" w:cs="Calibri"/>
          <w:sz w:val="22"/>
          <w:szCs w:val="22"/>
          <w:lang w:val="en-US"/>
        </w:rPr>
        <w:t xml:space="preserve">eft </w:t>
      </w:r>
      <w:r w:rsidR="00303D9D" w:rsidRPr="009B0F6E">
        <w:rPr>
          <w:rFonts w:ascii="Calibri" w:hAnsi="Calibri" w:cs="Calibri"/>
          <w:sz w:val="22"/>
          <w:szCs w:val="22"/>
          <w:lang w:val="en-US"/>
        </w:rPr>
        <w:t>a</w:t>
      </w:r>
      <w:r w:rsidRPr="009B0F6E">
        <w:rPr>
          <w:rFonts w:ascii="Calibri" w:hAnsi="Calibri" w:cs="Calibri"/>
          <w:sz w:val="22"/>
          <w:szCs w:val="22"/>
          <w:lang w:val="en-US"/>
        </w:rPr>
        <w:t xml:space="preserve">trial </w:t>
      </w:r>
      <w:r w:rsidR="00303D9D" w:rsidRPr="009B0F6E">
        <w:rPr>
          <w:rFonts w:ascii="Calibri" w:hAnsi="Calibri" w:cs="Calibri"/>
          <w:sz w:val="22"/>
          <w:szCs w:val="22"/>
          <w:lang w:val="en-US"/>
        </w:rPr>
        <w:t>a</w:t>
      </w:r>
      <w:r w:rsidRPr="009B0F6E">
        <w:rPr>
          <w:rFonts w:ascii="Calibri" w:hAnsi="Calibri" w:cs="Calibri"/>
          <w:sz w:val="22"/>
          <w:szCs w:val="22"/>
          <w:lang w:val="en-US"/>
        </w:rPr>
        <w:t xml:space="preserve">ppendage </w:t>
      </w:r>
      <w:r w:rsidR="00303D9D" w:rsidRPr="009B0F6E">
        <w:rPr>
          <w:rFonts w:ascii="Calibri" w:hAnsi="Calibri" w:cs="Calibri"/>
          <w:sz w:val="22"/>
          <w:szCs w:val="22"/>
          <w:lang w:val="en-US"/>
        </w:rPr>
        <w:t>c</w:t>
      </w:r>
      <w:r w:rsidRPr="009B0F6E">
        <w:rPr>
          <w:rFonts w:ascii="Calibri" w:hAnsi="Calibri" w:cs="Calibri"/>
          <w:sz w:val="22"/>
          <w:szCs w:val="22"/>
          <w:lang w:val="en-US"/>
        </w:rPr>
        <w:t xml:space="preserve">losure: </w:t>
      </w:r>
      <w:r w:rsidR="00303D9D" w:rsidRPr="009B0F6E">
        <w:rPr>
          <w:rFonts w:ascii="Calibri" w:hAnsi="Calibri" w:cs="Calibri"/>
          <w:sz w:val="22"/>
          <w:szCs w:val="22"/>
          <w:lang w:val="en-US"/>
        </w:rPr>
        <w:t>p</w:t>
      </w:r>
      <w:r w:rsidRPr="009B0F6E">
        <w:rPr>
          <w:rFonts w:ascii="Calibri" w:hAnsi="Calibri" w:cs="Calibri"/>
          <w:sz w:val="22"/>
          <w:szCs w:val="22"/>
          <w:lang w:val="en-US"/>
        </w:rPr>
        <w:t xml:space="preserve">rimary </w:t>
      </w:r>
      <w:r w:rsidR="00303D9D" w:rsidRPr="009B0F6E">
        <w:rPr>
          <w:rFonts w:ascii="Calibri" w:hAnsi="Calibri" w:cs="Calibri"/>
          <w:sz w:val="22"/>
          <w:szCs w:val="22"/>
          <w:lang w:val="en-US"/>
        </w:rPr>
        <w:t>r</w:t>
      </w:r>
      <w:r w:rsidRPr="009B0F6E">
        <w:rPr>
          <w:rFonts w:ascii="Calibri" w:hAnsi="Calibri" w:cs="Calibri"/>
          <w:sz w:val="22"/>
          <w:szCs w:val="22"/>
          <w:lang w:val="en-US"/>
        </w:rPr>
        <w:t xml:space="preserve">esults of the SWISS-APERO </w:t>
      </w:r>
      <w:r w:rsidR="00303D9D" w:rsidRPr="009B0F6E">
        <w:rPr>
          <w:rFonts w:ascii="Calibri" w:hAnsi="Calibri" w:cs="Calibri"/>
          <w:sz w:val="22"/>
          <w:szCs w:val="22"/>
          <w:lang w:val="en-US"/>
        </w:rPr>
        <w:t>r</w:t>
      </w:r>
      <w:r w:rsidRPr="009B0F6E">
        <w:rPr>
          <w:rFonts w:ascii="Calibri" w:hAnsi="Calibri" w:cs="Calibri"/>
          <w:sz w:val="22"/>
          <w:szCs w:val="22"/>
          <w:lang w:val="en-US"/>
        </w:rPr>
        <w:t xml:space="preserve">andomized </w:t>
      </w:r>
      <w:r w:rsidR="00303D9D" w:rsidRPr="009B0F6E">
        <w:rPr>
          <w:rFonts w:ascii="Calibri" w:hAnsi="Calibri" w:cs="Calibri"/>
          <w:sz w:val="22"/>
          <w:szCs w:val="22"/>
          <w:lang w:val="en-US"/>
        </w:rPr>
        <w:t>c</w:t>
      </w:r>
      <w:r w:rsidRPr="009B0F6E">
        <w:rPr>
          <w:rFonts w:ascii="Calibri" w:hAnsi="Calibri" w:cs="Calibri"/>
          <w:sz w:val="22"/>
          <w:szCs w:val="22"/>
          <w:lang w:val="en-US"/>
        </w:rPr>
        <w:t xml:space="preserve">linical </w:t>
      </w:r>
      <w:r w:rsidR="00303D9D" w:rsidRPr="009B0F6E">
        <w:rPr>
          <w:rFonts w:ascii="Calibri" w:hAnsi="Calibri" w:cs="Calibri"/>
          <w:sz w:val="22"/>
          <w:szCs w:val="22"/>
          <w:lang w:val="en-US"/>
        </w:rPr>
        <w:t>t</w:t>
      </w:r>
      <w:r w:rsidRPr="009B0F6E">
        <w:rPr>
          <w:rFonts w:ascii="Calibri" w:hAnsi="Calibri" w:cs="Calibri"/>
          <w:sz w:val="22"/>
          <w:szCs w:val="22"/>
          <w:lang w:val="en-US"/>
        </w:rPr>
        <w:t xml:space="preserve">rial. </w:t>
      </w:r>
      <w:r w:rsidRPr="009B0F6E">
        <w:rPr>
          <w:rFonts w:ascii="Calibri" w:hAnsi="Calibri" w:cs="Calibri"/>
          <w:i/>
          <w:iCs/>
          <w:sz w:val="22"/>
          <w:szCs w:val="22"/>
          <w:lang w:val="en-US"/>
        </w:rPr>
        <w:t>Circulation</w:t>
      </w:r>
      <w:r w:rsidRPr="009B0F6E">
        <w:rPr>
          <w:rFonts w:ascii="Calibri" w:hAnsi="Calibri" w:cs="Calibri"/>
          <w:sz w:val="22"/>
          <w:szCs w:val="22"/>
          <w:lang w:val="en-US"/>
        </w:rPr>
        <w:t>. 2022</w:t>
      </w:r>
      <w:proofErr w:type="gramStart"/>
      <w:r w:rsidRPr="009B0F6E">
        <w:rPr>
          <w:rFonts w:ascii="Calibri" w:hAnsi="Calibri" w:cs="Calibri"/>
          <w:sz w:val="22"/>
          <w:szCs w:val="22"/>
          <w:lang w:val="en-US"/>
        </w:rPr>
        <w:t>;145</w:t>
      </w:r>
      <w:proofErr w:type="gramEnd"/>
      <w:r w:rsidRPr="009B0F6E">
        <w:rPr>
          <w:rFonts w:ascii="Calibri" w:hAnsi="Calibri" w:cs="Calibri"/>
          <w:sz w:val="22"/>
          <w:szCs w:val="22"/>
          <w:lang w:val="en-US"/>
        </w:rPr>
        <w:t>(10):724</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738. </w:t>
      </w:r>
      <w:hyperlink r:id="rId63" w:history="1">
        <w:r w:rsidR="000C6287" w:rsidRPr="009B0F6E">
          <w:rPr>
            <w:rStyle w:val="Hyperlink"/>
            <w:rFonts w:ascii="Calibri" w:hAnsi="Calibri" w:cs="Calibri"/>
            <w:sz w:val="22"/>
            <w:szCs w:val="22"/>
            <w:lang w:val="en-US"/>
          </w:rPr>
          <w:t>[CrossRef]</w:t>
        </w:r>
      </w:hyperlink>
      <w:r w:rsidR="00CF64E8" w:rsidRPr="009B0F6E">
        <w:rPr>
          <w:rFonts w:ascii="Calibri" w:hAnsi="Calibri" w:cs="Calibri"/>
          <w:sz w:val="22"/>
          <w:szCs w:val="22"/>
          <w:lang w:val="en-US"/>
        </w:rPr>
        <w:t xml:space="preserve"> </w:t>
      </w:r>
      <w:hyperlink r:id="rId64" w:history="1">
        <w:r w:rsidR="000C6287" w:rsidRPr="009B0F6E">
          <w:rPr>
            <w:rStyle w:val="Hyperlink"/>
            <w:rFonts w:ascii="Calibri" w:hAnsi="Calibri" w:cs="Calibri"/>
            <w:sz w:val="22"/>
            <w:szCs w:val="22"/>
            <w:lang w:val="en-US"/>
          </w:rPr>
          <w:t>[PubMed]</w:t>
        </w:r>
      </w:hyperlink>
    </w:p>
    <w:p w14:paraId="30483707" w14:textId="4304269D"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Korsholm K, Jensen JM, </w:t>
      </w:r>
      <w:proofErr w:type="gramStart"/>
      <w:r w:rsidRPr="009B0F6E">
        <w:rPr>
          <w:rFonts w:ascii="Calibri" w:hAnsi="Calibri" w:cs="Calibri"/>
          <w:sz w:val="22"/>
          <w:szCs w:val="22"/>
          <w:lang w:val="en-US"/>
        </w:rPr>
        <w:t>Nørgaard</w:t>
      </w:r>
      <w:proofErr w:type="gramEnd"/>
      <w:r w:rsidRPr="009B0F6E">
        <w:rPr>
          <w:rFonts w:ascii="Calibri" w:hAnsi="Calibri" w:cs="Calibri"/>
          <w:sz w:val="22"/>
          <w:szCs w:val="22"/>
          <w:lang w:val="en-US"/>
        </w:rPr>
        <w:t xml:space="preserve"> BL, et al. Peridevice </w:t>
      </w:r>
      <w:r w:rsidR="00D43B61" w:rsidRPr="009B0F6E">
        <w:rPr>
          <w:rFonts w:ascii="Calibri" w:hAnsi="Calibri" w:cs="Calibri"/>
          <w:sz w:val="22"/>
          <w:szCs w:val="22"/>
          <w:lang w:val="en-US"/>
        </w:rPr>
        <w:t>l</w:t>
      </w:r>
      <w:r w:rsidRPr="009B0F6E">
        <w:rPr>
          <w:rFonts w:ascii="Calibri" w:hAnsi="Calibri" w:cs="Calibri"/>
          <w:sz w:val="22"/>
          <w:szCs w:val="22"/>
          <w:lang w:val="en-US"/>
        </w:rPr>
        <w:t xml:space="preserve">eak </w:t>
      </w:r>
      <w:r w:rsidR="00D43B61" w:rsidRPr="009B0F6E">
        <w:rPr>
          <w:rFonts w:ascii="Calibri" w:hAnsi="Calibri" w:cs="Calibri"/>
          <w:sz w:val="22"/>
          <w:szCs w:val="22"/>
          <w:lang w:val="en-US"/>
        </w:rPr>
        <w:t>f</w:t>
      </w:r>
      <w:r w:rsidRPr="009B0F6E">
        <w:rPr>
          <w:rFonts w:ascii="Calibri" w:hAnsi="Calibri" w:cs="Calibri"/>
          <w:sz w:val="22"/>
          <w:szCs w:val="22"/>
          <w:lang w:val="en-US"/>
        </w:rPr>
        <w:t xml:space="preserve">ollowing </w:t>
      </w:r>
      <w:r w:rsidR="00E8119E" w:rsidRPr="009B0F6E">
        <w:rPr>
          <w:rFonts w:ascii="Calibri" w:hAnsi="Calibri" w:cs="Calibri"/>
          <w:sz w:val="22"/>
          <w:szCs w:val="22"/>
          <w:lang w:val="en-US"/>
        </w:rPr>
        <w:t xml:space="preserve">Amplatzer </w:t>
      </w:r>
      <w:r w:rsidR="00D43B61" w:rsidRPr="009B0F6E">
        <w:rPr>
          <w:rFonts w:ascii="Calibri" w:hAnsi="Calibri" w:cs="Calibri"/>
          <w:sz w:val="22"/>
          <w:szCs w:val="22"/>
          <w:lang w:val="en-US"/>
        </w:rPr>
        <w:t>l</w:t>
      </w:r>
      <w:r w:rsidRPr="009B0F6E">
        <w:rPr>
          <w:rFonts w:ascii="Calibri" w:hAnsi="Calibri" w:cs="Calibri"/>
          <w:sz w:val="22"/>
          <w:szCs w:val="22"/>
          <w:lang w:val="en-US"/>
        </w:rPr>
        <w:t xml:space="preserve">eft </w:t>
      </w:r>
      <w:r w:rsidR="00D43B61" w:rsidRPr="009B0F6E">
        <w:rPr>
          <w:rFonts w:ascii="Calibri" w:hAnsi="Calibri" w:cs="Calibri"/>
          <w:sz w:val="22"/>
          <w:szCs w:val="22"/>
          <w:lang w:val="en-US"/>
        </w:rPr>
        <w:t>a</w:t>
      </w:r>
      <w:r w:rsidRPr="009B0F6E">
        <w:rPr>
          <w:rFonts w:ascii="Calibri" w:hAnsi="Calibri" w:cs="Calibri"/>
          <w:sz w:val="22"/>
          <w:szCs w:val="22"/>
          <w:lang w:val="en-US"/>
        </w:rPr>
        <w:t xml:space="preserve">trial </w:t>
      </w:r>
      <w:r w:rsidR="00D43B61" w:rsidRPr="009B0F6E">
        <w:rPr>
          <w:rFonts w:ascii="Calibri" w:hAnsi="Calibri" w:cs="Calibri"/>
          <w:sz w:val="22"/>
          <w:szCs w:val="22"/>
          <w:lang w:val="en-US"/>
        </w:rPr>
        <w:t>a</w:t>
      </w:r>
      <w:r w:rsidRPr="009B0F6E">
        <w:rPr>
          <w:rFonts w:ascii="Calibri" w:hAnsi="Calibri" w:cs="Calibri"/>
          <w:sz w:val="22"/>
          <w:szCs w:val="22"/>
          <w:lang w:val="en-US"/>
        </w:rPr>
        <w:t xml:space="preserve">ppendage </w:t>
      </w:r>
      <w:r w:rsidR="00D43B61" w:rsidRPr="009B0F6E">
        <w:rPr>
          <w:rFonts w:ascii="Calibri" w:hAnsi="Calibri" w:cs="Calibri"/>
          <w:sz w:val="22"/>
          <w:szCs w:val="22"/>
          <w:lang w:val="en-US"/>
        </w:rPr>
        <w:t>o</w:t>
      </w:r>
      <w:r w:rsidRPr="009B0F6E">
        <w:rPr>
          <w:rFonts w:ascii="Calibri" w:hAnsi="Calibri" w:cs="Calibri"/>
          <w:sz w:val="22"/>
          <w:szCs w:val="22"/>
          <w:lang w:val="en-US"/>
        </w:rPr>
        <w:t xml:space="preserve">cclusion: </w:t>
      </w:r>
      <w:r w:rsidR="00D43B61" w:rsidRPr="009B0F6E">
        <w:rPr>
          <w:rFonts w:ascii="Calibri" w:hAnsi="Calibri" w:cs="Calibri"/>
          <w:sz w:val="22"/>
          <w:szCs w:val="22"/>
          <w:lang w:val="en-US"/>
        </w:rPr>
        <w:t>c</w:t>
      </w:r>
      <w:r w:rsidRPr="009B0F6E">
        <w:rPr>
          <w:rFonts w:ascii="Calibri" w:hAnsi="Calibri" w:cs="Calibri"/>
          <w:sz w:val="22"/>
          <w:szCs w:val="22"/>
          <w:lang w:val="en-US"/>
        </w:rPr>
        <w:t xml:space="preserve">ardiac </w:t>
      </w:r>
      <w:r w:rsidR="00D43B61" w:rsidRPr="009B0F6E">
        <w:rPr>
          <w:rFonts w:ascii="Calibri" w:hAnsi="Calibri" w:cs="Calibri"/>
          <w:sz w:val="22"/>
          <w:szCs w:val="22"/>
          <w:lang w:val="en-US"/>
        </w:rPr>
        <w:t>c</w:t>
      </w:r>
      <w:r w:rsidRPr="009B0F6E">
        <w:rPr>
          <w:rFonts w:ascii="Calibri" w:hAnsi="Calibri" w:cs="Calibri"/>
          <w:sz w:val="22"/>
          <w:szCs w:val="22"/>
          <w:lang w:val="en-US"/>
        </w:rPr>
        <w:t xml:space="preserve">omputed </w:t>
      </w:r>
      <w:r w:rsidR="00D43B61" w:rsidRPr="009B0F6E">
        <w:rPr>
          <w:rFonts w:ascii="Calibri" w:hAnsi="Calibri" w:cs="Calibri"/>
          <w:sz w:val="22"/>
          <w:szCs w:val="22"/>
          <w:lang w:val="en-US"/>
        </w:rPr>
        <w:t>t</w:t>
      </w:r>
      <w:r w:rsidRPr="009B0F6E">
        <w:rPr>
          <w:rFonts w:ascii="Calibri" w:hAnsi="Calibri" w:cs="Calibri"/>
          <w:sz w:val="22"/>
          <w:szCs w:val="22"/>
          <w:lang w:val="en-US"/>
        </w:rPr>
        <w:t xml:space="preserve">omography </w:t>
      </w:r>
      <w:r w:rsidR="00D43B61" w:rsidRPr="009B0F6E">
        <w:rPr>
          <w:rFonts w:ascii="Calibri" w:hAnsi="Calibri" w:cs="Calibri"/>
          <w:sz w:val="22"/>
          <w:szCs w:val="22"/>
          <w:lang w:val="en-US"/>
        </w:rPr>
        <w:t>c</w:t>
      </w:r>
      <w:r w:rsidRPr="009B0F6E">
        <w:rPr>
          <w:rFonts w:ascii="Calibri" w:hAnsi="Calibri" w:cs="Calibri"/>
          <w:sz w:val="22"/>
          <w:szCs w:val="22"/>
          <w:lang w:val="en-US"/>
        </w:rPr>
        <w:t xml:space="preserve">lassification and </w:t>
      </w:r>
      <w:r w:rsidR="00D43B61" w:rsidRPr="009B0F6E">
        <w:rPr>
          <w:rFonts w:ascii="Calibri" w:hAnsi="Calibri" w:cs="Calibri"/>
          <w:sz w:val="22"/>
          <w:szCs w:val="22"/>
          <w:lang w:val="en-US"/>
        </w:rPr>
        <w:t>c</w:t>
      </w:r>
      <w:r w:rsidRPr="009B0F6E">
        <w:rPr>
          <w:rFonts w:ascii="Calibri" w:hAnsi="Calibri" w:cs="Calibri"/>
          <w:sz w:val="22"/>
          <w:szCs w:val="22"/>
          <w:lang w:val="en-US"/>
        </w:rPr>
        <w:t xml:space="preserve">linical </w:t>
      </w:r>
      <w:r w:rsidR="00D43B61" w:rsidRPr="009B0F6E">
        <w:rPr>
          <w:rFonts w:ascii="Calibri" w:hAnsi="Calibri" w:cs="Calibri"/>
          <w:sz w:val="22"/>
          <w:szCs w:val="22"/>
          <w:lang w:val="en-US"/>
        </w:rPr>
        <w:t>o</w:t>
      </w:r>
      <w:r w:rsidRPr="009B0F6E">
        <w:rPr>
          <w:rFonts w:ascii="Calibri" w:hAnsi="Calibri" w:cs="Calibri"/>
          <w:sz w:val="22"/>
          <w:szCs w:val="22"/>
          <w:lang w:val="en-US"/>
        </w:rPr>
        <w:t xml:space="preserve">utcomes. </w:t>
      </w:r>
      <w:r w:rsidRPr="009B0F6E">
        <w:rPr>
          <w:rFonts w:ascii="Calibri" w:hAnsi="Calibri" w:cs="Calibri"/>
          <w:i/>
          <w:iCs/>
          <w:sz w:val="22"/>
          <w:szCs w:val="22"/>
          <w:lang w:val="en-US"/>
        </w:rPr>
        <w:t>JACC Cardiovasc Interv</w:t>
      </w:r>
      <w:r w:rsidRPr="009B0F6E">
        <w:rPr>
          <w:rFonts w:ascii="Calibri" w:hAnsi="Calibri" w:cs="Calibri"/>
          <w:sz w:val="22"/>
          <w:szCs w:val="22"/>
          <w:lang w:val="en-US"/>
        </w:rPr>
        <w:t>. 2021</w:t>
      </w:r>
      <w:proofErr w:type="gramStart"/>
      <w:r w:rsidRPr="009B0F6E">
        <w:rPr>
          <w:rFonts w:ascii="Calibri" w:hAnsi="Calibri" w:cs="Calibri"/>
          <w:sz w:val="22"/>
          <w:szCs w:val="22"/>
          <w:lang w:val="en-US"/>
        </w:rPr>
        <w:t>;14</w:t>
      </w:r>
      <w:proofErr w:type="gramEnd"/>
      <w:r w:rsidRPr="009B0F6E">
        <w:rPr>
          <w:rFonts w:ascii="Calibri" w:hAnsi="Calibri" w:cs="Calibri"/>
          <w:sz w:val="22"/>
          <w:szCs w:val="22"/>
          <w:lang w:val="en-US"/>
        </w:rPr>
        <w:t>(1):83</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93. </w:t>
      </w:r>
      <w:hyperlink r:id="rId65" w:history="1">
        <w:r w:rsidR="000C6287" w:rsidRPr="009B0F6E">
          <w:rPr>
            <w:rStyle w:val="Hyperlink"/>
            <w:rFonts w:ascii="Calibri" w:hAnsi="Calibri" w:cs="Calibri"/>
            <w:sz w:val="22"/>
            <w:szCs w:val="22"/>
            <w:lang w:val="en-US"/>
          </w:rPr>
          <w:t>[CrossRef]</w:t>
        </w:r>
      </w:hyperlink>
      <w:r w:rsidR="007E3285" w:rsidRPr="009B0F6E">
        <w:rPr>
          <w:rFonts w:ascii="Calibri" w:hAnsi="Calibri" w:cs="Calibri"/>
          <w:sz w:val="22"/>
          <w:szCs w:val="22"/>
          <w:lang w:val="en-US"/>
        </w:rPr>
        <w:t xml:space="preserve"> </w:t>
      </w:r>
      <w:hyperlink r:id="rId66" w:history="1">
        <w:r w:rsidR="000C6287" w:rsidRPr="009B0F6E">
          <w:rPr>
            <w:rStyle w:val="Hyperlink"/>
            <w:rFonts w:ascii="Calibri" w:hAnsi="Calibri" w:cs="Calibri"/>
            <w:sz w:val="22"/>
            <w:szCs w:val="22"/>
            <w:lang w:val="en-US"/>
          </w:rPr>
          <w:t>[PubMed]</w:t>
        </w:r>
      </w:hyperlink>
    </w:p>
    <w:p w14:paraId="30483708" w14:textId="0671636F"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Galea R, Meneveau N, De Marco F, et al. One-</w:t>
      </w:r>
      <w:r w:rsidR="00D22FC2" w:rsidRPr="009B0F6E">
        <w:rPr>
          <w:rFonts w:ascii="Calibri" w:hAnsi="Calibri" w:cs="Calibri"/>
          <w:sz w:val="22"/>
          <w:szCs w:val="22"/>
          <w:lang w:val="en-US"/>
        </w:rPr>
        <w:t xml:space="preserve">year outcomes after </w:t>
      </w:r>
      <w:r w:rsidR="001C7DB8" w:rsidRPr="009B0F6E">
        <w:rPr>
          <w:rFonts w:ascii="Calibri" w:hAnsi="Calibri" w:cs="Calibri"/>
          <w:sz w:val="22"/>
          <w:szCs w:val="22"/>
          <w:lang w:val="en-US"/>
        </w:rPr>
        <w:t xml:space="preserve">Amulet </w:t>
      </w:r>
      <w:r w:rsidRPr="009B0F6E">
        <w:rPr>
          <w:rFonts w:ascii="Calibri" w:hAnsi="Calibri" w:cs="Calibri"/>
          <w:sz w:val="22"/>
          <w:szCs w:val="22"/>
          <w:lang w:val="en-US"/>
        </w:rPr>
        <w:t xml:space="preserve">or Watchman </w:t>
      </w:r>
      <w:r w:rsidR="00D22FC2" w:rsidRPr="009B0F6E">
        <w:rPr>
          <w:rFonts w:ascii="Calibri" w:hAnsi="Calibri" w:cs="Calibri"/>
          <w:sz w:val="22"/>
          <w:szCs w:val="22"/>
          <w:lang w:val="en-US"/>
        </w:rPr>
        <w:t>device for percutaneous left atrial appendage closure: a prespecified analy</w:t>
      </w:r>
      <w:r w:rsidRPr="009B0F6E">
        <w:rPr>
          <w:rFonts w:ascii="Calibri" w:hAnsi="Calibri" w:cs="Calibri"/>
          <w:sz w:val="22"/>
          <w:szCs w:val="22"/>
          <w:lang w:val="en-US"/>
        </w:rPr>
        <w:t xml:space="preserve">sis of the SWISS-APERO </w:t>
      </w:r>
      <w:r w:rsidR="00D22FC2" w:rsidRPr="009B0F6E">
        <w:rPr>
          <w:rFonts w:ascii="Calibri" w:hAnsi="Calibri" w:cs="Calibri"/>
          <w:sz w:val="22"/>
          <w:szCs w:val="22"/>
          <w:lang w:val="en-US"/>
        </w:rPr>
        <w:t>randomized clinical tr</w:t>
      </w:r>
      <w:r w:rsidRPr="009B0F6E">
        <w:rPr>
          <w:rFonts w:ascii="Calibri" w:hAnsi="Calibri" w:cs="Calibri"/>
          <w:sz w:val="22"/>
          <w:szCs w:val="22"/>
          <w:lang w:val="en-US"/>
        </w:rPr>
        <w:t xml:space="preserve">ial. </w:t>
      </w:r>
      <w:r w:rsidRPr="009B0F6E">
        <w:rPr>
          <w:rFonts w:ascii="Calibri" w:hAnsi="Calibri" w:cs="Calibri"/>
          <w:i/>
          <w:iCs/>
          <w:sz w:val="22"/>
          <w:szCs w:val="22"/>
          <w:lang w:val="en-US"/>
        </w:rPr>
        <w:t>Circulation</w:t>
      </w:r>
      <w:r w:rsidRPr="009B0F6E">
        <w:rPr>
          <w:rFonts w:ascii="Calibri" w:hAnsi="Calibri" w:cs="Calibri"/>
          <w:sz w:val="22"/>
          <w:szCs w:val="22"/>
          <w:lang w:val="en-US"/>
        </w:rPr>
        <w:t>. 2024</w:t>
      </w:r>
      <w:proofErr w:type="gramStart"/>
      <w:r w:rsidRPr="009B0F6E">
        <w:rPr>
          <w:rFonts w:ascii="Calibri" w:hAnsi="Calibri" w:cs="Calibri"/>
          <w:sz w:val="22"/>
          <w:szCs w:val="22"/>
          <w:lang w:val="en-US"/>
        </w:rPr>
        <w:t>;149</w:t>
      </w:r>
      <w:proofErr w:type="gramEnd"/>
      <w:r w:rsidRPr="009B0F6E">
        <w:rPr>
          <w:rFonts w:ascii="Calibri" w:hAnsi="Calibri" w:cs="Calibri"/>
          <w:sz w:val="22"/>
          <w:szCs w:val="22"/>
          <w:lang w:val="en-US"/>
        </w:rPr>
        <w:t>(6):484</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486. </w:t>
      </w:r>
      <w:hyperlink r:id="rId67" w:history="1">
        <w:r w:rsidR="000C6287" w:rsidRPr="009B0F6E">
          <w:rPr>
            <w:rStyle w:val="Hyperlink"/>
            <w:rFonts w:ascii="Calibri" w:hAnsi="Calibri" w:cs="Calibri"/>
            <w:sz w:val="22"/>
            <w:szCs w:val="22"/>
            <w:lang w:val="en-US"/>
          </w:rPr>
          <w:t>[CrossRef]</w:t>
        </w:r>
      </w:hyperlink>
      <w:r w:rsidR="00CE21C3" w:rsidRPr="009B0F6E">
        <w:rPr>
          <w:rFonts w:ascii="Calibri" w:hAnsi="Calibri" w:cs="Calibri"/>
          <w:sz w:val="22"/>
          <w:szCs w:val="22"/>
          <w:lang w:val="en-US"/>
        </w:rPr>
        <w:t xml:space="preserve"> </w:t>
      </w:r>
      <w:hyperlink r:id="rId68" w:history="1">
        <w:r w:rsidR="000C6287" w:rsidRPr="009B0F6E">
          <w:rPr>
            <w:rStyle w:val="Hyperlink"/>
            <w:rFonts w:ascii="Calibri" w:hAnsi="Calibri" w:cs="Calibri"/>
            <w:sz w:val="22"/>
            <w:szCs w:val="22"/>
            <w:lang w:val="en-US"/>
          </w:rPr>
          <w:t>[PubMed]</w:t>
        </w:r>
      </w:hyperlink>
    </w:p>
    <w:p w14:paraId="30483709" w14:textId="5EFAE8E2"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Galea R, De Marco F, Aminian A, et al. 3-Year </w:t>
      </w:r>
      <w:r w:rsidR="00962FFC" w:rsidRPr="009B0F6E">
        <w:rPr>
          <w:rFonts w:ascii="Calibri" w:hAnsi="Calibri" w:cs="Calibri"/>
          <w:sz w:val="22"/>
          <w:szCs w:val="22"/>
          <w:lang w:val="en-US"/>
        </w:rPr>
        <w:t>c</w:t>
      </w:r>
      <w:r w:rsidRPr="009B0F6E">
        <w:rPr>
          <w:rFonts w:ascii="Calibri" w:hAnsi="Calibri" w:cs="Calibri"/>
          <w:sz w:val="22"/>
          <w:szCs w:val="22"/>
          <w:lang w:val="en-US"/>
        </w:rPr>
        <w:t xml:space="preserve">linical </w:t>
      </w:r>
      <w:r w:rsidR="00962FFC" w:rsidRPr="009B0F6E">
        <w:rPr>
          <w:rFonts w:ascii="Calibri" w:hAnsi="Calibri" w:cs="Calibri"/>
          <w:sz w:val="22"/>
          <w:szCs w:val="22"/>
          <w:lang w:val="en-US"/>
        </w:rPr>
        <w:t>o</w:t>
      </w:r>
      <w:r w:rsidRPr="009B0F6E">
        <w:rPr>
          <w:rFonts w:ascii="Calibri" w:hAnsi="Calibri" w:cs="Calibri"/>
          <w:sz w:val="22"/>
          <w:szCs w:val="22"/>
          <w:lang w:val="en-US"/>
        </w:rPr>
        <w:t xml:space="preserve">utcomes </w:t>
      </w:r>
      <w:r w:rsidR="00962FFC" w:rsidRPr="009B0F6E">
        <w:rPr>
          <w:rFonts w:ascii="Calibri" w:hAnsi="Calibri" w:cs="Calibri"/>
          <w:sz w:val="22"/>
          <w:szCs w:val="22"/>
          <w:lang w:val="en-US"/>
        </w:rPr>
        <w:t>c</w:t>
      </w:r>
      <w:r w:rsidRPr="009B0F6E">
        <w:rPr>
          <w:rFonts w:ascii="Calibri" w:hAnsi="Calibri" w:cs="Calibri"/>
          <w:sz w:val="22"/>
          <w:szCs w:val="22"/>
          <w:lang w:val="en-US"/>
        </w:rPr>
        <w:t xml:space="preserve">omparing the Amulet vs Watchman FLX for </w:t>
      </w:r>
      <w:r w:rsidR="00962FFC" w:rsidRPr="009B0F6E">
        <w:rPr>
          <w:rFonts w:ascii="Calibri" w:hAnsi="Calibri" w:cs="Calibri"/>
          <w:sz w:val="22"/>
          <w:szCs w:val="22"/>
          <w:lang w:val="en-US"/>
        </w:rPr>
        <w:t>l</w:t>
      </w:r>
      <w:r w:rsidRPr="009B0F6E">
        <w:rPr>
          <w:rFonts w:ascii="Calibri" w:hAnsi="Calibri" w:cs="Calibri"/>
          <w:sz w:val="22"/>
          <w:szCs w:val="22"/>
          <w:lang w:val="en-US"/>
        </w:rPr>
        <w:t xml:space="preserve">eft </w:t>
      </w:r>
      <w:r w:rsidR="00962FFC" w:rsidRPr="009B0F6E">
        <w:rPr>
          <w:rFonts w:ascii="Calibri" w:hAnsi="Calibri" w:cs="Calibri"/>
          <w:sz w:val="22"/>
          <w:szCs w:val="22"/>
          <w:lang w:val="en-US"/>
        </w:rPr>
        <w:t>a</w:t>
      </w:r>
      <w:r w:rsidRPr="009B0F6E">
        <w:rPr>
          <w:rFonts w:ascii="Calibri" w:hAnsi="Calibri" w:cs="Calibri"/>
          <w:sz w:val="22"/>
          <w:szCs w:val="22"/>
          <w:lang w:val="en-US"/>
        </w:rPr>
        <w:t xml:space="preserve">trial </w:t>
      </w:r>
      <w:r w:rsidR="00962FFC" w:rsidRPr="009B0F6E">
        <w:rPr>
          <w:rFonts w:ascii="Calibri" w:hAnsi="Calibri" w:cs="Calibri"/>
          <w:sz w:val="22"/>
          <w:szCs w:val="22"/>
          <w:lang w:val="en-US"/>
        </w:rPr>
        <w:t>a</w:t>
      </w:r>
      <w:r w:rsidRPr="009B0F6E">
        <w:rPr>
          <w:rFonts w:ascii="Calibri" w:hAnsi="Calibri" w:cs="Calibri"/>
          <w:sz w:val="22"/>
          <w:szCs w:val="22"/>
          <w:lang w:val="en-US"/>
        </w:rPr>
        <w:t xml:space="preserve">ppendage </w:t>
      </w:r>
      <w:r w:rsidR="00962FFC" w:rsidRPr="009B0F6E">
        <w:rPr>
          <w:rFonts w:ascii="Calibri" w:hAnsi="Calibri" w:cs="Calibri"/>
          <w:sz w:val="22"/>
          <w:szCs w:val="22"/>
          <w:lang w:val="en-US"/>
        </w:rPr>
        <w:t>c</w:t>
      </w:r>
      <w:r w:rsidRPr="009B0F6E">
        <w:rPr>
          <w:rFonts w:ascii="Calibri" w:hAnsi="Calibri" w:cs="Calibri"/>
          <w:sz w:val="22"/>
          <w:szCs w:val="22"/>
          <w:lang w:val="en-US"/>
        </w:rPr>
        <w:t xml:space="preserve">losure in </w:t>
      </w:r>
      <w:r w:rsidR="00962FFC" w:rsidRPr="009B0F6E">
        <w:rPr>
          <w:rFonts w:ascii="Calibri" w:hAnsi="Calibri" w:cs="Calibri"/>
          <w:sz w:val="22"/>
          <w:szCs w:val="22"/>
          <w:lang w:val="en-US"/>
        </w:rPr>
        <w:t>p</w:t>
      </w:r>
      <w:r w:rsidRPr="009B0F6E">
        <w:rPr>
          <w:rFonts w:ascii="Calibri" w:hAnsi="Calibri" w:cs="Calibri"/>
          <w:sz w:val="22"/>
          <w:szCs w:val="22"/>
          <w:lang w:val="en-US"/>
        </w:rPr>
        <w:t xml:space="preserve">atients </w:t>
      </w:r>
      <w:r w:rsidR="00962FFC" w:rsidRPr="009B0F6E">
        <w:rPr>
          <w:rFonts w:ascii="Calibri" w:hAnsi="Calibri" w:cs="Calibri"/>
          <w:sz w:val="22"/>
          <w:szCs w:val="22"/>
          <w:lang w:val="en-US"/>
        </w:rPr>
        <w:t>w</w:t>
      </w:r>
      <w:r w:rsidRPr="009B0F6E">
        <w:rPr>
          <w:rFonts w:ascii="Calibri" w:hAnsi="Calibri" w:cs="Calibri"/>
          <w:sz w:val="22"/>
          <w:szCs w:val="22"/>
          <w:lang w:val="en-US"/>
        </w:rPr>
        <w:t xml:space="preserve">ith </w:t>
      </w:r>
      <w:r w:rsidR="00962FFC" w:rsidRPr="009B0F6E">
        <w:rPr>
          <w:rFonts w:ascii="Calibri" w:hAnsi="Calibri" w:cs="Calibri"/>
          <w:sz w:val="22"/>
          <w:szCs w:val="22"/>
          <w:lang w:val="en-US"/>
        </w:rPr>
        <w:t>a</w:t>
      </w:r>
      <w:r w:rsidRPr="009B0F6E">
        <w:rPr>
          <w:rFonts w:ascii="Calibri" w:hAnsi="Calibri" w:cs="Calibri"/>
          <w:sz w:val="22"/>
          <w:szCs w:val="22"/>
          <w:lang w:val="en-US"/>
        </w:rPr>
        <w:t xml:space="preserve">trial </w:t>
      </w:r>
      <w:r w:rsidR="00962FFC" w:rsidRPr="009B0F6E">
        <w:rPr>
          <w:rFonts w:ascii="Calibri" w:hAnsi="Calibri" w:cs="Calibri"/>
          <w:sz w:val="22"/>
          <w:szCs w:val="22"/>
          <w:lang w:val="en-US"/>
        </w:rPr>
        <w:t>f</w:t>
      </w:r>
      <w:r w:rsidRPr="009B0F6E">
        <w:rPr>
          <w:rFonts w:ascii="Calibri" w:hAnsi="Calibri" w:cs="Calibri"/>
          <w:sz w:val="22"/>
          <w:szCs w:val="22"/>
          <w:lang w:val="en-US"/>
        </w:rPr>
        <w:t>ibrillation</w:t>
      </w:r>
      <w:r w:rsidR="008D075A" w:rsidRPr="009B0F6E">
        <w:rPr>
          <w:rFonts w:ascii="Calibri" w:hAnsi="Calibri" w:cs="Calibri"/>
          <w:sz w:val="22"/>
          <w:szCs w:val="22"/>
          <w:lang w:val="en-US"/>
        </w:rPr>
        <w:t xml:space="preserve">: </w:t>
      </w:r>
      <w:r w:rsidR="00962FFC" w:rsidRPr="009B0F6E">
        <w:rPr>
          <w:rFonts w:ascii="Calibri" w:hAnsi="Calibri" w:cs="Calibri"/>
          <w:sz w:val="22"/>
          <w:szCs w:val="22"/>
          <w:lang w:val="en-US"/>
        </w:rPr>
        <w:t>r</w:t>
      </w:r>
      <w:r w:rsidR="008D075A" w:rsidRPr="009B0F6E">
        <w:rPr>
          <w:rFonts w:ascii="Calibri" w:hAnsi="Calibri" w:cs="Calibri"/>
          <w:sz w:val="22"/>
          <w:szCs w:val="22"/>
          <w:lang w:val="en-US"/>
        </w:rPr>
        <w:t xml:space="preserve">esults </w:t>
      </w:r>
      <w:r w:rsidR="00962FFC" w:rsidRPr="009B0F6E">
        <w:rPr>
          <w:rFonts w:ascii="Calibri" w:hAnsi="Calibri" w:cs="Calibri"/>
          <w:sz w:val="22"/>
          <w:szCs w:val="22"/>
          <w:lang w:val="en-US"/>
        </w:rPr>
        <w:t>f</w:t>
      </w:r>
      <w:r w:rsidR="008D075A" w:rsidRPr="009B0F6E">
        <w:rPr>
          <w:rFonts w:ascii="Calibri" w:hAnsi="Calibri" w:cs="Calibri"/>
          <w:sz w:val="22"/>
          <w:szCs w:val="22"/>
          <w:lang w:val="en-US"/>
        </w:rPr>
        <w:t xml:space="preserve">rom the SWISS-APERO </w:t>
      </w:r>
      <w:r w:rsidR="00962FFC" w:rsidRPr="009B0F6E">
        <w:rPr>
          <w:rFonts w:ascii="Calibri" w:hAnsi="Calibri" w:cs="Calibri"/>
          <w:sz w:val="22"/>
          <w:szCs w:val="22"/>
          <w:lang w:val="en-US"/>
        </w:rPr>
        <w:t>r</w:t>
      </w:r>
      <w:r w:rsidR="008D075A" w:rsidRPr="009B0F6E">
        <w:rPr>
          <w:rFonts w:ascii="Calibri" w:hAnsi="Calibri" w:cs="Calibri"/>
          <w:sz w:val="22"/>
          <w:szCs w:val="22"/>
          <w:lang w:val="en-US"/>
        </w:rPr>
        <w:t xml:space="preserve">andomized </w:t>
      </w:r>
      <w:r w:rsidR="00962FFC" w:rsidRPr="009B0F6E">
        <w:rPr>
          <w:rFonts w:ascii="Calibri" w:hAnsi="Calibri" w:cs="Calibri"/>
          <w:sz w:val="22"/>
          <w:szCs w:val="22"/>
          <w:lang w:val="en-US"/>
        </w:rPr>
        <w:t>c</w:t>
      </w:r>
      <w:r w:rsidR="008D075A" w:rsidRPr="009B0F6E">
        <w:rPr>
          <w:rFonts w:ascii="Calibri" w:hAnsi="Calibri" w:cs="Calibri"/>
          <w:sz w:val="22"/>
          <w:szCs w:val="22"/>
          <w:lang w:val="en-US"/>
        </w:rPr>
        <w:t xml:space="preserve">linical </w:t>
      </w:r>
      <w:r w:rsidR="00962FFC" w:rsidRPr="009B0F6E">
        <w:rPr>
          <w:rFonts w:ascii="Calibri" w:hAnsi="Calibri" w:cs="Calibri"/>
          <w:sz w:val="22"/>
          <w:szCs w:val="22"/>
          <w:lang w:val="en-US"/>
        </w:rPr>
        <w:t>t</w:t>
      </w:r>
      <w:r w:rsidR="008D075A" w:rsidRPr="009B0F6E">
        <w:rPr>
          <w:rFonts w:ascii="Calibri" w:hAnsi="Calibri" w:cs="Calibri"/>
          <w:sz w:val="22"/>
          <w:szCs w:val="22"/>
          <w:lang w:val="en-US"/>
        </w:rPr>
        <w:t>rial</w:t>
      </w:r>
      <w:r w:rsidRPr="009B0F6E">
        <w:rPr>
          <w:rFonts w:ascii="Calibri" w:hAnsi="Calibri" w:cs="Calibri"/>
          <w:sz w:val="22"/>
          <w:szCs w:val="22"/>
          <w:lang w:val="en-US"/>
        </w:rPr>
        <w:t xml:space="preserve">. </w:t>
      </w:r>
      <w:r w:rsidRPr="009B0F6E">
        <w:rPr>
          <w:rFonts w:ascii="Calibri" w:hAnsi="Calibri" w:cs="Calibri"/>
          <w:i/>
          <w:iCs/>
          <w:sz w:val="22"/>
          <w:szCs w:val="22"/>
          <w:lang w:val="en-US"/>
        </w:rPr>
        <w:t>J</w:t>
      </w:r>
      <w:r w:rsidR="0030602C" w:rsidRPr="009B0F6E">
        <w:rPr>
          <w:rFonts w:ascii="Calibri" w:hAnsi="Calibri" w:cs="Calibri"/>
          <w:i/>
          <w:iCs/>
          <w:sz w:val="22"/>
          <w:szCs w:val="22"/>
          <w:lang w:val="en-US"/>
        </w:rPr>
        <w:t xml:space="preserve"> </w:t>
      </w:r>
      <w:r w:rsidRPr="009B0F6E">
        <w:rPr>
          <w:rFonts w:ascii="Calibri" w:hAnsi="Calibri" w:cs="Calibri"/>
          <w:i/>
          <w:iCs/>
          <w:sz w:val="22"/>
          <w:szCs w:val="22"/>
          <w:lang w:val="en-US"/>
        </w:rPr>
        <w:t>A</w:t>
      </w:r>
      <w:r w:rsidR="0030602C" w:rsidRPr="009B0F6E">
        <w:rPr>
          <w:rFonts w:ascii="Calibri" w:hAnsi="Calibri" w:cs="Calibri"/>
          <w:i/>
          <w:iCs/>
          <w:sz w:val="22"/>
          <w:szCs w:val="22"/>
          <w:lang w:val="en-US"/>
        </w:rPr>
        <w:t xml:space="preserve">m </w:t>
      </w:r>
      <w:r w:rsidRPr="009B0F6E">
        <w:rPr>
          <w:rFonts w:ascii="Calibri" w:hAnsi="Calibri" w:cs="Calibri"/>
          <w:i/>
          <w:iCs/>
          <w:sz w:val="22"/>
          <w:szCs w:val="22"/>
          <w:lang w:val="en-US"/>
        </w:rPr>
        <w:t>C</w:t>
      </w:r>
      <w:r w:rsidR="0030602C" w:rsidRPr="009B0F6E">
        <w:rPr>
          <w:rFonts w:ascii="Calibri" w:hAnsi="Calibri" w:cs="Calibri"/>
          <w:i/>
          <w:iCs/>
          <w:sz w:val="22"/>
          <w:szCs w:val="22"/>
          <w:lang w:val="en-US"/>
        </w:rPr>
        <w:t xml:space="preserve">oll </w:t>
      </w:r>
      <w:r w:rsidRPr="009B0F6E">
        <w:rPr>
          <w:rFonts w:ascii="Calibri" w:hAnsi="Calibri" w:cs="Calibri"/>
          <w:i/>
          <w:iCs/>
          <w:sz w:val="22"/>
          <w:szCs w:val="22"/>
          <w:lang w:val="en-US"/>
        </w:rPr>
        <w:t>C</w:t>
      </w:r>
      <w:r w:rsidR="0030602C" w:rsidRPr="009B0F6E">
        <w:rPr>
          <w:rFonts w:ascii="Calibri" w:hAnsi="Calibri" w:cs="Calibri"/>
          <w:i/>
          <w:iCs/>
          <w:sz w:val="22"/>
          <w:szCs w:val="22"/>
          <w:lang w:val="en-US"/>
        </w:rPr>
        <w:t>ardiol</w:t>
      </w:r>
      <w:r w:rsidRPr="009B0F6E">
        <w:rPr>
          <w:rFonts w:ascii="Calibri" w:hAnsi="Calibri" w:cs="Calibri"/>
          <w:sz w:val="22"/>
          <w:szCs w:val="22"/>
          <w:lang w:val="en-US"/>
        </w:rPr>
        <w:t>. 2025</w:t>
      </w:r>
      <w:proofErr w:type="gramStart"/>
      <w:r w:rsidRPr="009B0F6E">
        <w:rPr>
          <w:rFonts w:ascii="Calibri" w:hAnsi="Calibri" w:cs="Calibri"/>
          <w:sz w:val="22"/>
          <w:szCs w:val="22"/>
          <w:lang w:val="en-US"/>
        </w:rPr>
        <w:t>;86</w:t>
      </w:r>
      <w:proofErr w:type="gramEnd"/>
      <w:r w:rsidRPr="009B0F6E">
        <w:rPr>
          <w:rFonts w:ascii="Calibri" w:hAnsi="Calibri" w:cs="Calibri"/>
          <w:sz w:val="22"/>
          <w:szCs w:val="22"/>
          <w:lang w:val="en-US"/>
        </w:rPr>
        <w:t>(1):3</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14. </w:t>
      </w:r>
      <w:hyperlink r:id="rId69" w:history="1">
        <w:r w:rsidR="000C6287" w:rsidRPr="009B0F6E">
          <w:rPr>
            <w:rStyle w:val="Hyperlink"/>
            <w:rFonts w:ascii="Calibri" w:hAnsi="Calibri" w:cs="Calibri"/>
            <w:sz w:val="22"/>
            <w:szCs w:val="22"/>
            <w:lang w:val="en-US"/>
          </w:rPr>
          <w:t>[CrossRef]</w:t>
        </w:r>
      </w:hyperlink>
      <w:r w:rsidR="008D075A" w:rsidRPr="009B0F6E">
        <w:rPr>
          <w:rFonts w:ascii="Calibri" w:hAnsi="Calibri" w:cs="Calibri"/>
          <w:sz w:val="22"/>
          <w:szCs w:val="22"/>
          <w:lang w:val="en-US"/>
        </w:rPr>
        <w:t xml:space="preserve"> </w:t>
      </w:r>
      <w:hyperlink r:id="rId70" w:history="1">
        <w:r w:rsidR="000C6287" w:rsidRPr="009B0F6E">
          <w:rPr>
            <w:rStyle w:val="Hyperlink"/>
            <w:rFonts w:ascii="Calibri" w:hAnsi="Calibri" w:cs="Calibri"/>
            <w:sz w:val="22"/>
            <w:szCs w:val="22"/>
            <w:lang w:val="en-US"/>
          </w:rPr>
          <w:t>[PubMed]</w:t>
        </w:r>
      </w:hyperlink>
    </w:p>
    <w:p w14:paraId="3048370A" w14:textId="60350D76"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Tilz RR, Fink T, Bartus K, et al. A collective European experience with left atrial appendage suture ligation using the LARIAT+ device. </w:t>
      </w:r>
      <w:r w:rsidRPr="009B0F6E">
        <w:rPr>
          <w:rFonts w:ascii="Calibri" w:hAnsi="Calibri" w:cs="Calibri"/>
          <w:i/>
          <w:iCs/>
          <w:sz w:val="22"/>
          <w:szCs w:val="22"/>
          <w:lang w:val="en-US"/>
        </w:rPr>
        <w:t>EP Eur</w:t>
      </w:r>
      <w:r w:rsidRPr="009B0F6E">
        <w:rPr>
          <w:rFonts w:ascii="Calibri" w:hAnsi="Calibri" w:cs="Calibri"/>
          <w:sz w:val="22"/>
          <w:szCs w:val="22"/>
          <w:lang w:val="en-US"/>
        </w:rPr>
        <w:t>. 2020</w:t>
      </w:r>
      <w:proofErr w:type="gramStart"/>
      <w:r w:rsidRPr="009B0F6E">
        <w:rPr>
          <w:rFonts w:ascii="Calibri" w:hAnsi="Calibri" w:cs="Calibri"/>
          <w:sz w:val="22"/>
          <w:szCs w:val="22"/>
          <w:lang w:val="en-US"/>
        </w:rPr>
        <w:t>;22</w:t>
      </w:r>
      <w:proofErr w:type="gramEnd"/>
      <w:r w:rsidRPr="009B0F6E">
        <w:rPr>
          <w:rFonts w:ascii="Calibri" w:hAnsi="Calibri" w:cs="Calibri"/>
          <w:sz w:val="22"/>
          <w:szCs w:val="22"/>
          <w:lang w:val="en-US"/>
        </w:rPr>
        <w:t>(6):924</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931. </w:t>
      </w:r>
      <w:hyperlink r:id="rId71" w:history="1">
        <w:r w:rsidR="000C6287" w:rsidRPr="009B0F6E">
          <w:rPr>
            <w:rStyle w:val="Hyperlink"/>
            <w:rFonts w:ascii="Calibri" w:hAnsi="Calibri" w:cs="Calibri"/>
            <w:sz w:val="22"/>
            <w:szCs w:val="22"/>
            <w:lang w:val="en-US"/>
          </w:rPr>
          <w:t>[CrossRef]</w:t>
        </w:r>
      </w:hyperlink>
    </w:p>
    <w:p w14:paraId="3048370B" w14:textId="432FFCE7"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Lakkireddy DR, Wilber DJ, </w:t>
      </w:r>
      <w:proofErr w:type="gramStart"/>
      <w:r w:rsidRPr="009B0F6E">
        <w:rPr>
          <w:rFonts w:ascii="Calibri" w:hAnsi="Calibri" w:cs="Calibri"/>
          <w:sz w:val="22"/>
          <w:szCs w:val="22"/>
          <w:lang w:val="en-US"/>
        </w:rPr>
        <w:t>Mittal</w:t>
      </w:r>
      <w:proofErr w:type="gramEnd"/>
      <w:r w:rsidRPr="009B0F6E">
        <w:rPr>
          <w:rFonts w:ascii="Calibri" w:hAnsi="Calibri" w:cs="Calibri"/>
          <w:sz w:val="22"/>
          <w:szCs w:val="22"/>
          <w:lang w:val="en-US"/>
        </w:rPr>
        <w:t xml:space="preserve"> S, et al. Pulmonary </w:t>
      </w:r>
      <w:r w:rsidR="00212A0F" w:rsidRPr="009B0F6E">
        <w:rPr>
          <w:rFonts w:ascii="Calibri" w:hAnsi="Calibri" w:cs="Calibri"/>
          <w:sz w:val="22"/>
          <w:szCs w:val="22"/>
          <w:lang w:val="en-US"/>
        </w:rPr>
        <w:t>vein isolation with or without left atrial appendage ligation in atrial fibrillation: t</w:t>
      </w:r>
      <w:r w:rsidRPr="009B0F6E">
        <w:rPr>
          <w:rFonts w:ascii="Calibri" w:hAnsi="Calibri" w:cs="Calibri"/>
          <w:sz w:val="22"/>
          <w:szCs w:val="22"/>
          <w:lang w:val="en-US"/>
        </w:rPr>
        <w:t xml:space="preserve">he aMAZE </w:t>
      </w:r>
      <w:r w:rsidR="00212A0F" w:rsidRPr="009B0F6E">
        <w:rPr>
          <w:rFonts w:ascii="Calibri" w:hAnsi="Calibri" w:cs="Calibri"/>
          <w:sz w:val="22"/>
          <w:szCs w:val="22"/>
          <w:lang w:val="en-US"/>
        </w:rPr>
        <w:t>randomized clinical tr</w:t>
      </w:r>
      <w:r w:rsidRPr="009B0F6E">
        <w:rPr>
          <w:rFonts w:ascii="Calibri" w:hAnsi="Calibri" w:cs="Calibri"/>
          <w:sz w:val="22"/>
          <w:szCs w:val="22"/>
          <w:lang w:val="en-US"/>
        </w:rPr>
        <w:t xml:space="preserve">ial. </w:t>
      </w:r>
      <w:r w:rsidRPr="009B0F6E">
        <w:rPr>
          <w:rFonts w:ascii="Calibri" w:hAnsi="Calibri" w:cs="Calibri"/>
          <w:i/>
          <w:iCs/>
          <w:sz w:val="22"/>
          <w:szCs w:val="22"/>
          <w:lang w:val="en-US"/>
        </w:rPr>
        <w:t>JAMA</w:t>
      </w:r>
      <w:r w:rsidRPr="009B0F6E">
        <w:rPr>
          <w:rFonts w:ascii="Calibri" w:hAnsi="Calibri" w:cs="Calibri"/>
          <w:sz w:val="22"/>
          <w:szCs w:val="22"/>
          <w:lang w:val="en-US"/>
        </w:rPr>
        <w:t>. 2024</w:t>
      </w:r>
      <w:proofErr w:type="gramStart"/>
      <w:r w:rsidRPr="009B0F6E">
        <w:rPr>
          <w:rFonts w:ascii="Calibri" w:hAnsi="Calibri" w:cs="Calibri"/>
          <w:sz w:val="22"/>
          <w:szCs w:val="22"/>
          <w:lang w:val="en-US"/>
        </w:rPr>
        <w:t>;331</w:t>
      </w:r>
      <w:proofErr w:type="gramEnd"/>
      <w:r w:rsidRPr="009B0F6E">
        <w:rPr>
          <w:rFonts w:ascii="Calibri" w:hAnsi="Calibri" w:cs="Calibri"/>
          <w:sz w:val="22"/>
          <w:szCs w:val="22"/>
          <w:lang w:val="en-US"/>
        </w:rPr>
        <w:t>(13):1099</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1108. </w:t>
      </w:r>
      <w:hyperlink r:id="rId72" w:history="1">
        <w:r w:rsidR="000C6287" w:rsidRPr="009B0F6E">
          <w:rPr>
            <w:rStyle w:val="Hyperlink"/>
            <w:rFonts w:ascii="Calibri" w:hAnsi="Calibri" w:cs="Calibri"/>
            <w:sz w:val="22"/>
            <w:szCs w:val="22"/>
            <w:lang w:val="en-US"/>
          </w:rPr>
          <w:t>[CrossRef]</w:t>
        </w:r>
      </w:hyperlink>
      <w:r w:rsidR="00212A0F" w:rsidRPr="009B0F6E">
        <w:rPr>
          <w:rFonts w:ascii="Calibri" w:hAnsi="Calibri" w:cs="Calibri"/>
          <w:sz w:val="22"/>
          <w:szCs w:val="22"/>
          <w:lang w:val="en-US"/>
        </w:rPr>
        <w:t xml:space="preserve"> </w:t>
      </w:r>
      <w:hyperlink r:id="rId73" w:history="1">
        <w:r w:rsidR="000C6287" w:rsidRPr="009B0F6E">
          <w:rPr>
            <w:rStyle w:val="Hyperlink"/>
            <w:rFonts w:ascii="Calibri" w:hAnsi="Calibri" w:cs="Calibri"/>
            <w:sz w:val="22"/>
            <w:szCs w:val="22"/>
            <w:lang w:val="en-US"/>
          </w:rPr>
          <w:t>[PubMed]</w:t>
        </w:r>
      </w:hyperlink>
    </w:p>
    <w:p w14:paraId="3048370C" w14:textId="1F62838D" w:rsidR="00DD3127" w:rsidRPr="009B0F6E" w:rsidRDefault="004C3E46"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Bartus K, Han FT, Bednarek J, </w:t>
      </w:r>
      <w:r w:rsidR="00C1376C" w:rsidRPr="009B0F6E">
        <w:rPr>
          <w:rFonts w:ascii="Calibri" w:hAnsi="Calibri" w:cs="Calibri"/>
          <w:sz w:val="22"/>
          <w:szCs w:val="22"/>
          <w:lang w:val="en-US"/>
        </w:rPr>
        <w:t xml:space="preserve">et al. Percutaneous left atrial appendage suture ligation using the LARIAT device in patients with atrial fibrillation: initial clinical experience. </w:t>
      </w:r>
      <w:r w:rsidR="00C1376C" w:rsidRPr="009B0F6E">
        <w:rPr>
          <w:rFonts w:ascii="Calibri" w:hAnsi="Calibri" w:cs="Calibri"/>
          <w:i/>
          <w:iCs/>
          <w:sz w:val="22"/>
          <w:szCs w:val="22"/>
          <w:lang w:val="en-US"/>
        </w:rPr>
        <w:t>J Am Coll Cardiol</w:t>
      </w:r>
      <w:r w:rsidR="00C1376C" w:rsidRPr="009B0F6E">
        <w:rPr>
          <w:rFonts w:ascii="Calibri" w:hAnsi="Calibri" w:cs="Calibri"/>
          <w:sz w:val="22"/>
          <w:szCs w:val="22"/>
          <w:lang w:val="en-US"/>
        </w:rPr>
        <w:t>. 2013</w:t>
      </w:r>
      <w:proofErr w:type="gramStart"/>
      <w:r w:rsidR="00C1376C" w:rsidRPr="009B0F6E">
        <w:rPr>
          <w:rFonts w:ascii="Calibri" w:hAnsi="Calibri" w:cs="Calibri"/>
          <w:sz w:val="22"/>
          <w:szCs w:val="22"/>
          <w:lang w:val="en-US"/>
        </w:rPr>
        <w:t>;62</w:t>
      </w:r>
      <w:proofErr w:type="gramEnd"/>
      <w:r w:rsidR="00C1376C" w:rsidRPr="009B0F6E">
        <w:rPr>
          <w:rFonts w:ascii="Calibri" w:hAnsi="Calibri" w:cs="Calibri"/>
          <w:sz w:val="22"/>
          <w:szCs w:val="22"/>
          <w:lang w:val="en-US"/>
        </w:rPr>
        <w:t>(2)</w:t>
      </w:r>
      <w:r w:rsidR="00B965D3" w:rsidRPr="009B0F6E">
        <w:rPr>
          <w:rFonts w:ascii="Calibri" w:hAnsi="Calibri" w:cs="Calibri"/>
          <w:sz w:val="22"/>
          <w:szCs w:val="22"/>
          <w:lang w:val="en-US"/>
        </w:rPr>
        <w:t>:108</w:t>
      </w:r>
      <w:r w:rsidR="008B795B" w:rsidRPr="009B0F6E">
        <w:rPr>
          <w:rFonts w:ascii="Calibri" w:hAnsi="Calibri" w:cs="Calibri"/>
          <w:sz w:val="22"/>
          <w:szCs w:val="22"/>
          <w:lang w:val="en-US"/>
        </w:rPr>
        <w:t>–</w:t>
      </w:r>
      <w:r w:rsidR="00B965D3" w:rsidRPr="009B0F6E">
        <w:rPr>
          <w:rFonts w:ascii="Calibri" w:hAnsi="Calibri" w:cs="Calibri"/>
          <w:sz w:val="22"/>
          <w:szCs w:val="22"/>
          <w:lang w:val="en-US"/>
        </w:rPr>
        <w:t>118</w:t>
      </w:r>
      <w:r w:rsidR="00C1376C" w:rsidRPr="009B0F6E">
        <w:rPr>
          <w:rFonts w:ascii="Calibri" w:hAnsi="Calibri" w:cs="Calibri"/>
          <w:sz w:val="22"/>
          <w:szCs w:val="22"/>
          <w:lang w:val="en-US"/>
        </w:rPr>
        <w:t xml:space="preserve">. </w:t>
      </w:r>
      <w:hyperlink r:id="rId74" w:history="1">
        <w:r w:rsidR="000C6287" w:rsidRPr="009B0F6E">
          <w:rPr>
            <w:rStyle w:val="Hyperlink"/>
            <w:rFonts w:ascii="Calibri" w:hAnsi="Calibri" w:cs="Calibri"/>
            <w:sz w:val="22"/>
            <w:szCs w:val="22"/>
            <w:lang w:val="en-US"/>
          </w:rPr>
          <w:t>[CrossRef]</w:t>
        </w:r>
      </w:hyperlink>
      <w:r w:rsidR="00B965D3" w:rsidRPr="009B0F6E">
        <w:rPr>
          <w:rFonts w:ascii="Calibri" w:hAnsi="Calibri" w:cs="Calibri"/>
          <w:sz w:val="22"/>
          <w:szCs w:val="22"/>
          <w:lang w:val="en-US"/>
        </w:rPr>
        <w:t xml:space="preserve"> </w:t>
      </w:r>
      <w:hyperlink r:id="rId75" w:history="1">
        <w:r w:rsidR="000C6287" w:rsidRPr="009B0F6E">
          <w:rPr>
            <w:rStyle w:val="Hyperlink"/>
            <w:rFonts w:ascii="Calibri" w:hAnsi="Calibri" w:cs="Calibri"/>
            <w:sz w:val="22"/>
            <w:szCs w:val="22"/>
            <w:lang w:val="en-US"/>
          </w:rPr>
          <w:t>[PubMed]</w:t>
        </w:r>
      </w:hyperlink>
    </w:p>
    <w:p w14:paraId="3048370D" w14:textId="4BBEAAC5" w:rsidR="00DD3127" w:rsidRPr="009B0F6E" w:rsidRDefault="002118B1"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Reddy VY, Holmes D, Doshi SK, Neuzil P, Kar S. </w:t>
      </w:r>
      <w:r w:rsidR="00C1376C" w:rsidRPr="009B0F6E">
        <w:rPr>
          <w:rFonts w:ascii="Calibri" w:hAnsi="Calibri" w:cs="Calibri"/>
          <w:sz w:val="22"/>
          <w:szCs w:val="22"/>
          <w:lang w:val="en-US"/>
        </w:rPr>
        <w:t xml:space="preserve">Safety of </w:t>
      </w:r>
      <w:r w:rsidRPr="009B0F6E">
        <w:rPr>
          <w:rFonts w:ascii="Calibri" w:hAnsi="Calibri" w:cs="Calibri"/>
          <w:sz w:val="22"/>
          <w:szCs w:val="22"/>
          <w:lang w:val="en-US"/>
        </w:rPr>
        <w:t>percutaneous left atrial appendage closure: results from th</w:t>
      </w:r>
      <w:r w:rsidR="00C1376C" w:rsidRPr="009B0F6E">
        <w:rPr>
          <w:rFonts w:ascii="Calibri" w:hAnsi="Calibri" w:cs="Calibri"/>
          <w:sz w:val="22"/>
          <w:szCs w:val="22"/>
          <w:lang w:val="en-US"/>
        </w:rPr>
        <w:t xml:space="preserve">e Watchman </w:t>
      </w:r>
      <w:r w:rsidRPr="009B0F6E">
        <w:rPr>
          <w:rFonts w:ascii="Calibri" w:hAnsi="Calibri" w:cs="Calibri"/>
          <w:sz w:val="22"/>
          <w:szCs w:val="22"/>
          <w:lang w:val="en-US"/>
        </w:rPr>
        <w:t>Left Atrial Appendage System for Embolic Protection in Patients wi</w:t>
      </w:r>
      <w:r w:rsidR="00C1376C" w:rsidRPr="009B0F6E">
        <w:rPr>
          <w:rFonts w:ascii="Calibri" w:hAnsi="Calibri" w:cs="Calibri"/>
          <w:sz w:val="22"/>
          <w:szCs w:val="22"/>
          <w:lang w:val="en-US"/>
        </w:rPr>
        <w:t xml:space="preserve">th AF (PROTECT AF) </w:t>
      </w:r>
      <w:r w:rsidRPr="009B0F6E">
        <w:rPr>
          <w:rFonts w:ascii="Calibri" w:hAnsi="Calibri" w:cs="Calibri"/>
          <w:sz w:val="22"/>
          <w:szCs w:val="22"/>
          <w:lang w:val="en-US"/>
        </w:rPr>
        <w:t>clinical trial a</w:t>
      </w:r>
      <w:r w:rsidR="00C1376C" w:rsidRPr="009B0F6E">
        <w:rPr>
          <w:rFonts w:ascii="Calibri" w:hAnsi="Calibri" w:cs="Calibri"/>
          <w:sz w:val="22"/>
          <w:szCs w:val="22"/>
          <w:lang w:val="en-US"/>
        </w:rPr>
        <w:t>nd the Continued Access Registry</w:t>
      </w:r>
      <w:r w:rsidRPr="009B0F6E">
        <w:rPr>
          <w:rFonts w:ascii="Calibri" w:hAnsi="Calibri" w:cs="Calibri"/>
          <w:sz w:val="22"/>
          <w:szCs w:val="22"/>
          <w:lang w:val="en-US"/>
        </w:rPr>
        <w:t xml:space="preserve">. </w:t>
      </w:r>
      <w:r w:rsidRPr="001E0E29">
        <w:rPr>
          <w:rFonts w:ascii="Calibri" w:hAnsi="Calibri" w:cs="Calibri"/>
          <w:i/>
          <w:sz w:val="22"/>
          <w:szCs w:val="22"/>
          <w:lang w:val="en-US"/>
        </w:rPr>
        <w:t>Circulation</w:t>
      </w:r>
      <w:r w:rsidRPr="009B0F6E">
        <w:rPr>
          <w:rFonts w:ascii="Calibri" w:hAnsi="Calibri" w:cs="Calibri"/>
          <w:sz w:val="22"/>
          <w:szCs w:val="22"/>
          <w:lang w:val="en-US"/>
        </w:rPr>
        <w:t>. 2011</w:t>
      </w:r>
      <w:proofErr w:type="gramStart"/>
      <w:r w:rsidRPr="009B0F6E">
        <w:rPr>
          <w:rFonts w:ascii="Calibri" w:hAnsi="Calibri" w:cs="Calibri"/>
          <w:sz w:val="22"/>
          <w:szCs w:val="22"/>
          <w:lang w:val="en-US"/>
        </w:rPr>
        <w:t>;123</w:t>
      </w:r>
      <w:proofErr w:type="gramEnd"/>
      <w:r w:rsidRPr="009B0F6E">
        <w:rPr>
          <w:rFonts w:ascii="Calibri" w:hAnsi="Calibri" w:cs="Calibri"/>
          <w:sz w:val="22"/>
          <w:szCs w:val="22"/>
          <w:lang w:val="en-US"/>
        </w:rPr>
        <w:t>(4):417</w:t>
      </w:r>
      <w:r w:rsidR="008B795B" w:rsidRPr="009B0F6E">
        <w:rPr>
          <w:rFonts w:ascii="Calibri" w:hAnsi="Calibri" w:cs="Calibri"/>
          <w:sz w:val="22"/>
          <w:szCs w:val="22"/>
          <w:lang w:val="en-US"/>
        </w:rPr>
        <w:t>–4</w:t>
      </w:r>
      <w:r w:rsidRPr="009B0F6E">
        <w:rPr>
          <w:rFonts w:ascii="Calibri" w:hAnsi="Calibri" w:cs="Calibri"/>
          <w:sz w:val="22"/>
          <w:szCs w:val="22"/>
          <w:lang w:val="en-US"/>
        </w:rPr>
        <w:t>24.</w:t>
      </w:r>
      <w:r w:rsidR="00C1376C" w:rsidRPr="009B0F6E">
        <w:rPr>
          <w:rFonts w:ascii="Calibri" w:hAnsi="Calibri" w:cs="Calibri"/>
          <w:sz w:val="22"/>
          <w:szCs w:val="22"/>
          <w:lang w:val="en-US"/>
        </w:rPr>
        <w:t xml:space="preserve"> </w:t>
      </w:r>
      <w:hyperlink r:id="rId76" w:history="1">
        <w:r w:rsidR="000C6287" w:rsidRPr="009B0F6E">
          <w:rPr>
            <w:rStyle w:val="Hyperlink"/>
            <w:rFonts w:ascii="Calibri" w:hAnsi="Calibri" w:cs="Calibri"/>
            <w:sz w:val="22"/>
            <w:szCs w:val="22"/>
            <w:lang w:val="en-US"/>
          </w:rPr>
          <w:t>[CrossRef]</w:t>
        </w:r>
      </w:hyperlink>
      <w:r w:rsidRPr="009B0F6E">
        <w:rPr>
          <w:rFonts w:ascii="Calibri" w:hAnsi="Calibri" w:cs="Calibri"/>
          <w:sz w:val="22"/>
          <w:szCs w:val="22"/>
          <w:lang w:val="en-US"/>
        </w:rPr>
        <w:t xml:space="preserve"> </w:t>
      </w:r>
      <w:hyperlink r:id="rId77" w:history="1">
        <w:r w:rsidR="000C6287" w:rsidRPr="009B0F6E">
          <w:rPr>
            <w:rStyle w:val="Hyperlink"/>
            <w:rFonts w:ascii="Calibri" w:hAnsi="Calibri" w:cs="Calibri"/>
            <w:sz w:val="22"/>
            <w:szCs w:val="22"/>
            <w:lang w:val="en-US"/>
          </w:rPr>
          <w:t>[PubMed]</w:t>
        </w:r>
      </w:hyperlink>
    </w:p>
    <w:p w14:paraId="3048370F" w14:textId="486DC326"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Reddy VY, Doshi SK, Kar S, et al. 5-Year </w:t>
      </w:r>
      <w:r w:rsidR="00AA3B69" w:rsidRPr="009B0F6E">
        <w:rPr>
          <w:rFonts w:ascii="Calibri" w:hAnsi="Calibri" w:cs="Calibri"/>
          <w:sz w:val="22"/>
          <w:szCs w:val="22"/>
          <w:lang w:val="en-US"/>
        </w:rPr>
        <w:t>outcomes after left atrial appendage closure: from the PREVAIL and PROTECT AF trials</w:t>
      </w:r>
      <w:r w:rsidRPr="009B0F6E">
        <w:rPr>
          <w:rFonts w:ascii="Calibri" w:hAnsi="Calibri" w:cs="Calibri"/>
          <w:sz w:val="22"/>
          <w:szCs w:val="22"/>
          <w:lang w:val="en-US"/>
        </w:rPr>
        <w:t xml:space="preserve">. </w:t>
      </w:r>
      <w:r w:rsidRPr="009B0F6E">
        <w:rPr>
          <w:rFonts w:ascii="Calibri" w:hAnsi="Calibri" w:cs="Calibri"/>
          <w:i/>
          <w:iCs/>
          <w:sz w:val="22"/>
          <w:szCs w:val="22"/>
          <w:lang w:val="en-US"/>
        </w:rPr>
        <w:t>J</w:t>
      </w:r>
      <w:r w:rsidR="00AA3B69" w:rsidRPr="009B0F6E">
        <w:rPr>
          <w:rFonts w:ascii="Calibri" w:hAnsi="Calibri" w:cs="Calibri"/>
          <w:i/>
          <w:iCs/>
          <w:sz w:val="22"/>
          <w:szCs w:val="22"/>
          <w:lang w:val="en-US"/>
        </w:rPr>
        <w:t xml:space="preserve"> </w:t>
      </w:r>
      <w:r w:rsidRPr="009B0F6E">
        <w:rPr>
          <w:rFonts w:ascii="Calibri" w:hAnsi="Calibri" w:cs="Calibri"/>
          <w:i/>
          <w:iCs/>
          <w:sz w:val="22"/>
          <w:szCs w:val="22"/>
          <w:lang w:val="en-US"/>
        </w:rPr>
        <w:t>A</w:t>
      </w:r>
      <w:r w:rsidR="00AA3B69" w:rsidRPr="009B0F6E">
        <w:rPr>
          <w:rFonts w:ascii="Calibri" w:hAnsi="Calibri" w:cs="Calibri"/>
          <w:i/>
          <w:iCs/>
          <w:sz w:val="22"/>
          <w:szCs w:val="22"/>
          <w:lang w:val="en-US"/>
        </w:rPr>
        <w:t xml:space="preserve">m </w:t>
      </w:r>
      <w:r w:rsidRPr="009B0F6E">
        <w:rPr>
          <w:rFonts w:ascii="Calibri" w:hAnsi="Calibri" w:cs="Calibri"/>
          <w:i/>
          <w:iCs/>
          <w:sz w:val="22"/>
          <w:szCs w:val="22"/>
          <w:lang w:val="en-US"/>
        </w:rPr>
        <w:t>C</w:t>
      </w:r>
      <w:r w:rsidR="00AA3B69" w:rsidRPr="009B0F6E">
        <w:rPr>
          <w:rFonts w:ascii="Calibri" w:hAnsi="Calibri" w:cs="Calibri"/>
          <w:i/>
          <w:iCs/>
          <w:sz w:val="22"/>
          <w:szCs w:val="22"/>
          <w:lang w:val="en-US"/>
        </w:rPr>
        <w:t xml:space="preserve">oll </w:t>
      </w:r>
      <w:r w:rsidRPr="009B0F6E">
        <w:rPr>
          <w:rFonts w:ascii="Calibri" w:hAnsi="Calibri" w:cs="Calibri"/>
          <w:i/>
          <w:iCs/>
          <w:sz w:val="22"/>
          <w:szCs w:val="22"/>
          <w:lang w:val="en-US"/>
        </w:rPr>
        <w:t>C</w:t>
      </w:r>
      <w:r w:rsidR="00AA3B69" w:rsidRPr="009B0F6E">
        <w:rPr>
          <w:rFonts w:ascii="Calibri" w:hAnsi="Calibri" w:cs="Calibri"/>
          <w:i/>
          <w:iCs/>
          <w:sz w:val="22"/>
          <w:szCs w:val="22"/>
          <w:lang w:val="en-US"/>
        </w:rPr>
        <w:t>ardiol</w:t>
      </w:r>
      <w:r w:rsidRPr="009B0F6E">
        <w:rPr>
          <w:rFonts w:ascii="Calibri" w:hAnsi="Calibri" w:cs="Calibri"/>
          <w:sz w:val="22"/>
          <w:szCs w:val="22"/>
          <w:lang w:val="en-US"/>
        </w:rPr>
        <w:t>. 2017</w:t>
      </w:r>
      <w:proofErr w:type="gramStart"/>
      <w:r w:rsidRPr="009B0F6E">
        <w:rPr>
          <w:rFonts w:ascii="Calibri" w:hAnsi="Calibri" w:cs="Calibri"/>
          <w:sz w:val="22"/>
          <w:szCs w:val="22"/>
          <w:lang w:val="en-US"/>
        </w:rPr>
        <w:t>;70</w:t>
      </w:r>
      <w:proofErr w:type="gramEnd"/>
      <w:r w:rsidRPr="009B0F6E">
        <w:rPr>
          <w:rFonts w:ascii="Calibri" w:hAnsi="Calibri" w:cs="Calibri"/>
          <w:sz w:val="22"/>
          <w:szCs w:val="22"/>
          <w:lang w:val="en-US"/>
        </w:rPr>
        <w:t>(24):2964</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2975. </w:t>
      </w:r>
      <w:hyperlink r:id="rId78" w:history="1">
        <w:r w:rsidR="000C6287" w:rsidRPr="009B0F6E">
          <w:rPr>
            <w:rStyle w:val="Hyperlink"/>
            <w:rFonts w:ascii="Calibri" w:hAnsi="Calibri" w:cs="Calibri"/>
            <w:sz w:val="22"/>
            <w:szCs w:val="22"/>
            <w:lang w:val="en-US"/>
          </w:rPr>
          <w:t>[CrossRef]</w:t>
        </w:r>
      </w:hyperlink>
      <w:r w:rsidR="00AA3B69" w:rsidRPr="009B0F6E">
        <w:rPr>
          <w:rFonts w:ascii="Calibri" w:hAnsi="Calibri" w:cs="Calibri"/>
          <w:sz w:val="22"/>
          <w:szCs w:val="22"/>
          <w:lang w:val="en-US"/>
        </w:rPr>
        <w:t xml:space="preserve"> </w:t>
      </w:r>
      <w:hyperlink r:id="rId79" w:history="1">
        <w:r w:rsidR="000C6287" w:rsidRPr="009B0F6E">
          <w:rPr>
            <w:rStyle w:val="Hyperlink"/>
            <w:rFonts w:ascii="Calibri" w:hAnsi="Calibri" w:cs="Calibri"/>
            <w:sz w:val="22"/>
            <w:szCs w:val="22"/>
            <w:lang w:val="en-US"/>
          </w:rPr>
          <w:t>[PubMed]</w:t>
        </w:r>
      </w:hyperlink>
    </w:p>
    <w:p w14:paraId="30483710" w14:textId="004B4844"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Reddy VY, Möbius</w:t>
      </w:r>
      <w:r w:rsidR="00E6337E" w:rsidRPr="009B0F6E">
        <w:rPr>
          <w:rFonts w:ascii="Calibri" w:hAnsi="Calibri" w:cs="Calibri"/>
          <w:sz w:val="22"/>
          <w:szCs w:val="22"/>
          <w:lang w:val="en-US"/>
        </w:rPr>
        <w:t>-Winkler</w:t>
      </w:r>
      <w:r w:rsidRPr="009B0F6E">
        <w:rPr>
          <w:rFonts w:ascii="Calibri" w:hAnsi="Calibri" w:cs="Calibri"/>
          <w:sz w:val="22"/>
          <w:szCs w:val="22"/>
          <w:lang w:val="en-US"/>
        </w:rPr>
        <w:t xml:space="preserve"> S, Miller MA, et al. Left </w:t>
      </w:r>
      <w:r w:rsidR="00E6337E" w:rsidRPr="009B0F6E">
        <w:rPr>
          <w:rFonts w:ascii="Calibri" w:hAnsi="Calibri" w:cs="Calibri"/>
          <w:sz w:val="22"/>
          <w:szCs w:val="22"/>
          <w:lang w:val="en-US"/>
        </w:rPr>
        <w:t>atrial appendage closure with th</w:t>
      </w:r>
      <w:r w:rsidRPr="009B0F6E">
        <w:rPr>
          <w:rFonts w:ascii="Calibri" w:hAnsi="Calibri" w:cs="Calibri"/>
          <w:sz w:val="22"/>
          <w:szCs w:val="22"/>
          <w:lang w:val="en-US"/>
        </w:rPr>
        <w:t xml:space="preserve">e Watchman </w:t>
      </w:r>
      <w:r w:rsidR="00E6337E" w:rsidRPr="009B0F6E">
        <w:rPr>
          <w:rFonts w:ascii="Calibri" w:hAnsi="Calibri" w:cs="Calibri"/>
          <w:sz w:val="22"/>
          <w:szCs w:val="22"/>
          <w:lang w:val="en-US"/>
        </w:rPr>
        <w:t>device in patients with a contraindication for oral anticoagul</w:t>
      </w:r>
      <w:r w:rsidRPr="009B0F6E">
        <w:rPr>
          <w:rFonts w:ascii="Calibri" w:hAnsi="Calibri" w:cs="Calibri"/>
          <w:sz w:val="22"/>
          <w:szCs w:val="22"/>
          <w:lang w:val="en-US"/>
        </w:rPr>
        <w:t>ation</w:t>
      </w:r>
      <w:r w:rsidR="00E6337E" w:rsidRPr="009B0F6E">
        <w:rPr>
          <w:rFonts w:ascii="Calibri" w:hAnsi="Calibri" w:cs="Calibri"/>
          <w:sz w:val="22"/>
          <w:szCs w:val="22"/>
          <w:lang w:val="en-US"/>
        </w:rPr>
        <w:t xml:space="preserve">: The ASAP study (ASA Plavix Feasibility Study with Watchman Left Atrial Appendage Closure Technology). </w:t>
      </w:r>
      <w:r w:rsidR="00E6337E" w:rsidRPr="001E0E29">
        <w:rPr>
          <w:rFonts w:ascii="Calibri" w:hAnsi="Calibri" w:cs="Calibri"/>
          <w:i/>
          <w:sz w:val="22"/>
          <w:szCs w:val="22"/>
          <w:lang w:val="en-US"/>
        </w:rPr>
        <w:t>J Am Coll Cardiol</w:t>
      </w:r>
      <w:r w:rsidRPr="009B0F6E">
        <w:rPr>
          <w:rFonts w:ascii="Calibri" w:hAnsi="Calibri" w:cs="Calibri"/>
          <w:sz w:val="22"/>
          <w:szCs w:val="22"/>
          <w:lang w:val="en-US"/>
        </w:rPr>
        <w:t>. 2013</w:t>
      </w:r>
      <w:proofErr w:type="gramStart"/>
      <w:r w:rsidRPr="009B0F6E">
        <w:rPr>
          <w:rFonts w:ascii="Calibri" w:hAnsi="Calibri" w:cs="Calibri"/>
          <w:sz w:val="22"/>
          <w:szCs w:val="22"/>
          <w:lang w:val="en-US"/>
        </w:rPr>
        <w:t>;61</w:t>
      </w:r>
      <w:proofErr w:type="gramEnd"/>
      <w:r w:rsidRPr="009B0F6E">
        <w:rPr>
          <w:rFonts w:ascii="Calibri" w:hAnsi="Calibri" w:cs="Calibri"/>
          <w:sz w:val="22"/>
          <w:szCs w:val="22"/>
          <w:lang w:val="en-US"/>
        </w:rPr>
        <w:t>(25):2551</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2556. </w:t>
      </w:r>
      <w:hyperlink r:id="rId80" w:history="1">
        <w:r w:rsidR="000C6287" w:rsidRPr="009B0F6E">
          <w:rPr>
            <w:rStyle w:val="Hyperlink"/>
            <w:rFonts w:ascii="Calibri" w:hAnsi="Calibri" w:cs="Calibri"/>
            <w:sz w:val="22"/>
            <w:szCs w:val="22"/>
            <w:lang w:val="en-US"/>
          </w:rPr>
          <w:t>[CrossRef]</w:t>
        </w:r>
      </w:hyperlink>
      <w:r w:rsidR="00E6337E" w:rsidRPr="009B0F6E">
        <w:rPr>
          <w:rFonts w:ascii="Calibri" w:hAnsi="Calibri" w:cs="Calibri"/>
          <w:sz w:val="22"/>
          <w:szCs w:val="22"/>
          <w:lang w:val="en-US"/>
        </w:rPr>
        <w:t xml:space="preserve"> </w:t>
      </w:r>
      <w:hyperlink r:id="rId81" w:history="1">
        <w:r w:rsidR="000C6287" w:rsidRPr="009B0F6E">
          <w:rPr>
            <w:rStyle w:val="Hyperlink"/>
            <w:rFonts w:ascii="Calibri" w:hAnsi="Calibri" w:cs="Calibri"/>
            <w:sz w:val="22"/>
            <w:szCs w:val="22"/>
            <w:lang w:val="en-US"/>
          </w:rPr>
          <w:t>[PubMed]</w:t>
        </w:r>
      </w:hyperlink>
    </w:p>
    <w:p w14:paraId="30483711" w14:textId="2A51686B"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Gage BF, van Walraven C, Pearce L, et al. Selecting patients with atrial fibrillation for anticoagulation: stroke risk stratification in patients taking aspirin. </w:t>
      </w:r>
      <w:r w:rsidRPr="009B0F6E">
        <w:rPr>
          <w:rFonts w:ascii="Calibri" w:hAnsi="Calibri" w:cs="Calibri"/>
          <w:i/>
          <w:iCs/>
          <w:sz w:val="22"/>
          <w:szCs w:val="22"/>
          <w:lang w:val="en-US"/>
        </w:rPr>
        <w:t>Circulation</w:t>
      </w:r>
      <w:r w:rsidRPr="009B0F6E">
        <w:rPr>
          <w:rFonts w:ascii="Calibri" w:hAnsi="Calibri" w:cs="Calibri"/>
          <w:sz w:val="22"/>
          <w:szCs w:val="22"/>
          <w:lang w:val="en-US"/>
        </w:rPr>
        <w:t>. 2004</w:t>
      </w:r>
      <w:proofErr w:type="gramStart"/>
      <w:r w:rsidRPr="009B0F6E">
        <w:rPr>
          <w:rFonts w:ascii="Calibri" w:hAnsi="Calibri" w:cs="Calibri"/>
          <w:sz w:val="22"/>
          <w:szCs w:val="22"/>
          <w:lang w:val="en-US"/>
        </w:rPr>
        <w:t>;110</w:t>
      </w:r>
      <w:proofErr w:type="gramEnd"/>
      <w:r w:rsidRPr="009B0F6E">
        <w:rPr>
          <w:rFonts w:ascii="Calibri" w:hAnsi="Calibri" w:cs="Calibri"/>
          <w:sz w:val="22"/>
          <w:szCs w:val="22"/>
          <w:lang w:val="en-US"/>
        </w:rPr>
        <w:t>(16):2287</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2292. </w:t>
      </w:r>
      <w:hyperlink r:id="rId82" w:history="1">
        <w:r w:rsidR="000C6287" w:rsidRPr="009B0F6E">
          <w:rPr>
            <w:rStyle w:val="Hyperlink"/>
            <w:rFonts w:ascii="Calibri" w:hAnsi="Calibri" w:cs="Calibri"/>
            <w:sz w:val="22"/>
            <w:szCs w:val="22"/>
            <w:lang w:val="en-US"/>
          </w:rPr>
          <w:t>[CrossRef]</w:t>
        </w:r>
      </w:hyperlink>
      <w:r w:rsidR="001C2442" w:rsidRPr="009B0F6E">
        <w:rPr>
          <w:rFonts w:ascii="Calibri" w:hAnsi="Calibri" w:cs="Calibri"/>
          <w:sz w:val="22"/>
          <w:szCs w:val="22"/>
          <w:lang w:val="en-US"/>
        </w:rPr>
        <w:t xml:space="preserve"> </w:t>
      </w:r>
      <w:hyperlink r:id="rId83" w:history="1">
        <w:r w:rsidR="000C6287" w:rsidRPr="009B0F6E">
          <w:rPr>
            <w:rStyle w:val="Hyperlink"/>
            <w:rFonts w:ascii="Calibri" w:hAnsi="Calibri" w:cs="Calibri"/>
            <w:sz w:val="22"/>
            <w:szCs w:val="22"/>
            <w:lang w:val="en-US"/>
          </w:rPr>
          <w:t>[PubMed]</w:t>
        </w:r>
      </w:hyperlink>
    </w:p>
    <w:p w14:paraId="30483712" w14:textId="3ED13C37" w:rsidR="00DD3127" w:rsidRPr="009B0F6E" w:rsidRDefault="004F4E9D"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ACTIVE Writing Group of the ACTIVE Investigators; Connolly S, Pogue J, Hart R, et al. </w:t>
      </w:r>
      <w:r w:rsidR="00C1376C" w:rsidRPr="009B0F6E">
        <w:rPr>
          <w:rFonts w:ascii="Calibri" w:hAnsi="Calibri" w:cs="Calibri"/>
          <w:sz w:val="22"/>
          <w:szCs w:val="22"/>
          <w:lang w:val="en-US"/>
        </w:rPr>
        <w:t xml:space="preserve">Clopidogrel plus aspirin versus oral anticoagulation for atrial fibrillation in the </w:t>
      </w:r>
      <w:proofErr w:type="gramStart"/>
      <w:r w:rsidR="00C1376C" w:rsidRPr="009B0F6E">
        <w:rPr>
          <w:rFonts w:ascii="Calibri" w:hAnsi="Calibri" w:cs="Calibri"/>
          <w:sz w:val="22"/>
          <w:szCs w:val="22"/>
          <w:lang w:val="en-US"/>
        </w:rPr>
        <w:t>Atrial</w:t>
      </w:r>
      <w:proofErr w:type="gramEnd"/>
      <w:r w:rsidR="00C1376C" w:rsidRPr="009B0F6E">
        <w:rPr>
          <w:rFonts w:ascii="Calibri" w:hAnsi="Calibri" w:cs="Calibri"/>
          <w:sz w:val="22"/>
          <w:szCs w:val="22"/>
          <w:lang w:val="en-US"/>
        </w:rPr>
        <w:t xml:space="preserve"> fibrillation Clopidogrel Trial with Irbesartan for prevention of Vascular Events (ACTIVE W): a randomised controlled trial. </w:t>
      </w:r>
      <w:r w:rsidR="00C1376C" w:rsidRPr="009B0F6E">
        <w:rPr>
          <w:rFonts w:ascii="Calibri" w:hAnsi="Calibri" w:cs="Calibri"/>
          <w:i/>
          <w:iCs/>
          <w:sz w:val="22"/>
          <w:szCs w:val="22"/>
          <w:lang w:val="en-US"/>
        </w:rPr>
        <w:t>Lancet</w:t>
      </w:r>
      <w:r w:rsidR="00C1376C" w:rsidRPr="009B0F6E">
        <w:rPr>
          <w:rFonts w:ascii="Calibri" w:hAnsi="Calibri" w:cs="Calibri"/>
          <w:sz w:val="22"/>
          <w:szCs w:val="22"/>
          <w:lang w:val="en-US"/>
        </w:rPr>
        <w:t>. 2006</w:t>
      </w:r>
      <w:proofErr w:type="gramStart"/>
      <w:r w:rsidR="00C1376C" w:rsidRPr="009B0F6E">
        <w:rPr>
          <w:rFonts w:ascii="Calibri" w:hAnsi="Calibri" w:cs="Calibri"/>
          <w:sz w:val="22"/>
          <w:szCs w:val="22"/>
          <w:lang w:val="en-US"/>
        </w:rPr>
        <w:t>;367</w:t>
      </w:r>
      <w:proofErr w:type="gramEnd"/>
      <w:r w:rsidR="00C1376C" w:rsidRPr="009B0F6E">
        <w:rPr>
          <w:rFonts w:ascii="Calibri" w:hAnsi="Calibri" w:cs="Calibri"/>
          <w:sz w:val="22"/>
          <w:szCs w:val="22"/>
          <w:lang w:val="en-US"/>
        </w:rPr>
        <w:t>(9526):1903</w:t>
      </w:r>
      <w:r w:rsidR="008B795B" w:rsidRPr="009B0F6E">
        <w:rPr>
          <w:rFonts w:ascii="Calibri" w:hAnsi="Calibri" w:cs="Calibri"/>
          <w:sz w:val="22"/>
          <w:szCs w:val="22"/>
          <w:lang w:val="en-US"/>
        </w:rPr>
        <w:t>–</w:t>
      </w:r>
      <w:r w:rsidR="00C1376C" w:rsidRPr="009B0F6E">
        <w:rPr>
          <w:rFonts w:ascii="Calibri" w:hAnsi="Calibri" w:cs="Calibri"/>
          <w:sz w:val="22"/>
          <w:szCs w:val="22"/>
          <w:lang w:val="en-US"/>
        </w:rPr>
        <w:t xml:space="preserve">1912. </w:t>
      </w:r>
      <w:hyperlink r:id="rId84" w:history="1">
        <w:r w:rsidR="000C6287" w:rsidRPr="009B0F6E">
          <w:rPr>
            <w:rStyle w:val="Hyperlink"/>
            <w:rFonts w:ascii="Calibri" w:hAnsi="Calibri" w:cs="Calibri"/>
            <w:sz w:val="22"/>
            <w:szCs w:val="22"/>
            <w:lang w:val="en-US"/>
          </w:rPr>
          <w:t>[CrossRef]</w:t>
        </w:r>
      </w:hyperlink>
      <w:r w:rsidRPr="009B0F6E">
        <w:rPr>
          <w:rFonts w:ascii="Calibri" w:hAnsi="Calibri" w:cs="Calibri"/>
          <w:sz w:val="22"/>
          <w:szCs w:val="22"/>
          <w:lang w:val="en-US"/>
        </w:rPr>
        <w:t xml:space="preserve"> </w:t>
      </w:r>
      <w:hyperlink r:id="rId85" w:history="1">
        <w:r w:rsidR="000C6287" w:rsidRPr="009B0F6E">
          <w:rPr>
            <w:rStyle w:val="Hyperlink"/>
            <w:rFonts w:ascii="Calibri" w:hAnsi="Calibri" w:cs="Calibri"/>
            <w:sz w:val="22"/>
            <w:szCs w:val="22"/>
            <w:lang w:val="en-US"/>
          </w:rPr>
          <w:t>[PubMed]</w:t>
        </w:r>
      </w:hyperlink>
    </w:p>
    <w:p w14:paraId="30483713" w14:textId="7BCA8A22"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Connolly SJ, Ezekowitz MD, Yusuf S, et al. Dabigatran versus </w:t>
      </w:r>
      <w:r w:rsidR="00387342" w:rsidRPr="009B0F6E">
        <w:rPr>
          <w:rFonts w:ascii="Calibri" w:hAnsi="Calibri" w:cs="Calibri"/>
          <w:sz w:val="22"/>
          <w:szCs w:val="22"/>
          <w:lang w:val="en-US"/>
        </w:rPr>
        <w:t>w</w:t>
      </w:r>
      <w:r w:rsidRPr="009B0F6E">
        <w:rPr>
          <w:rFonts w:ascii="Calibri" w:hAnsi="Calibri" w:cs="Calibri"/>
          <w:sz w:val="22"/>
          <w:szCs w:val="22"/>
          <w:lang w:val="en-US"/>
        </w:rPr>
        <w:t xml:space="preserve">arfarin in </w:t>
      </w:r>
      <w:r w:rsidR="00387342" w:rsidRPr="009B0F6E">
        <w:rPr>
          <w:rFonts w:ascii="Calibri" w:hAnsi="Calibri" w:cs="Calibri"/>
          <w:sz w:val="22"/>
          <w:szCs w:val="22"/>
          <w:lang w:val="en-US"/>
        </w:rPr>
        <w:t>p</w:t>
      </w:r>
      <w:r w:rsidRPr="009B0F6E">
        <w:rPr>
          <w:rFonts w:ascii="Calibri" w:hAnsi="Calibri" w:cs="Calibri"/>
          <w:sz w:val="22"/>
          <w:szCs w:val="22"/>
          <w:lang w:val="en-US"/>
        </w:rPr>
        <w:t xml:space="preserve">atients with </w:t>
      </w:r>
      <w:r w:rsidR="00387342" w:rsidRPr="009B0F6E">
        <w:rPr>
          <w:rFonts w:ascii="Calibri" w:hAnsi="Calibri" w:cs="Calibri"/>
          <w:sz w:val="22"/>
          <w:szCs w:val="22"/>
          <w:lang w:val="en-US"/>
        </w:rPr>
        <w:t>a</w:t>
      </w:r>
      <w:r w:rsidRPr="009B0F6E">
        <w:rPr>
          <w:rFonts w:ascii="Calibri" w:hAnsi="Calibri" w:cs="Calibri"/>
          <w:sz w:val="22"/>
          <w:szCs w:val="22"/>
          <w:lang w:val="en-US"/>
        </w:rPr>
        <w:t xml:space="preserve">trial </w:t>
      </w:r>
      <w:r w:rsidR="00387342" w:rsidRPr="009B0F6E">
        <w:rPr>
          <w:rFonts w:ascii="Calibri" w:hAnsi="Calibri" w:cs="Calibri"/>
          <w:sz w:val="22"/>
          <w:szCs w:val="22"/>
          <w:lang w:val="en-US"/>
        </w:rPr>
        <w:t>f</w:t>
      </w:r>
      <w:r w:rsidRPr="009B0F6E">
        <w:rPr>
          <w:rFonts w:ascii="Calibri" w:hAnsi="Calibri" w:cs="Calibri"/>
          <w:sz w:val="22"/>
          <w:szCs w:val="22"/>
          <w:lang w:val="en-US"/>
        </w:rPr>
        <w:t xml:space="preserve">ibrillation. </w:t>
      </w:r>
      <w:r w:rsidRPr="009B0F6E">
        <w:rPr>
          <w:rFonts w:ascii="Calibri" w:hAnsi="Calibri" w:cs="Calibri"/>
          <w:i/>
          <w:iCs/>
          <w:sz w:val="22"/>
          <w:szCs w:val="22"/>
          <w:lang w:val="en-US"/>
        </w:rPr>
        <w:t>N Engl J Med</w:t>
      </w:r>
      <w:r w:rsidRPr="009B0F6E">
        <w:rPr>
          <w:rFonts w:ascii="Calibri" w:hAnsi="Calibri" w:cs="Calibri"/>
          <w:sz w:val="22"/>
          <w:szCs w:val="22"/>
          <w:lang w:val="en-US"/>
        </w:rPr>
        <w:t>. 2009</w:t>
      </w:r>
      <w:proofErr w:type="gramStart"/>
      <w:r w:rsidRPr="009B0F6E">
        <w:rPr>
          <w:rFonts w:ascii="Calibri" w:hAnsi="Calibri" w:cs="Calibri"/>
          <w:sz w:val="22"/>
          <w:szCs w:val="22"/>
          <w:lang w:val="en-US"/>
        </w:rPr>
        <w:t>;361</w:t>
      </w:r>
      <w:proofErr w:type="gramEnd"/>
      <w:r w:rsidRPr="009B0F6E">
        <w:rPr>
          <w:rFonts w:ascii="Calibri" w:hAnsi="Calibri" w:cs="Calibri"/>
          <w:sz w:val="22"/>
          <w:szCs w:val="22"/>
          <w:lang w:val="en-US"/>
        </w:rPr>
        <w:t>(12):1139</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1151. </w:t>
      </w:r>
      <w:hyperlink r:id="rId86" w:history="1">
        <w:r w:rsidR="000C6287" w:rsidRPr="009B0F6E">
          <w:rPr>
            <w:rStyle w:val="Hyperlink"/>
            <w:rFonts w:ascii="Calibri" w:hAnsi="Calibri" w:cs="Calibri"/>
            <w:sz w:val="22"/>
            <w:szCs w:val="22"/>
            <w:lang w:val="en-US"/>
          </w:rPr>
          <w:t>[CrossRef]</w:t>
        </w:r>
      </w:hyperlink>
      <w:r w:rsidR="00387342" w:rsidRPr="009B0F6E">
        <w:rPr>
          <w:rFonts w:ascii="Calibri" w:hAnsi="Calibri" w:cs="Calibri"/>
          <w:sz w:val="22"/>
          <w:szCs w:val="22"/>
          <w:lang w:val="en-US"/>
        </w:rPr>
        <w:t xml:space="preserve"> </w:t>
      </w:r>
      <w:hyperlink r:id="rId87" w:history="1">
        <w:r w:rsidR="000C6287" w:rsidRPr="009B0F6E">
          <w:rPr>
            <w:rStyle w:val="Hyperlink"/>
            <w:rFonts w:ascii="Calibri" w:hAnsi="Calibri" w:cs="Calibri"/>
            <w:sz w:val="22"/>
            <w:szCs w:val="22"/>
            <w:lang w:val="en-US"/>
          </w:rPr>
          <w:t>[PubMed]</w:t>
        </w:r>
      </w:hyperlink>
    </w:p>
    <w:p w14:paraId="30483714" w14:textId="745075C4"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Patel MR, Mahaffey KW, Garg J, et al. Rivaroxaban versus </w:t>
      </w:r>
      <w:r w:rsidR="00DD60C0" w:rsidRPr="009B0F6E">
        <w:rPr>
          <w:rFonts w:ascii="Calibri" w:hAnsi="Calibri" w:cs="Calibri"/>
          <w:sz w:val="22"/>
          <w:szCs w:val="22"/>
          <w:lang w:val="en-US"/>
        </w:rPr>
        <w:t>warfarin in nonvalvular atrial fibrillati</w:t>
      </w:r>
      <w:r w:rsidRPr="009B0F6E">
        <w:rPr>
          <w:rFonts w:ascii="Calibri" w:hAnsi="Calibri" w:cs="Calibri"/>
          <w:sz w:val="22"/>
          <w:szCs w:val="22"/>
          <w:lang w:val="en-US"/>
        </w:rPr>
        <w:t xml:space="preserve">on. </w:t>
      </w:r>
      <w:r w:rsidRPr="009B0F6E">
        <w:rPr>
          <w:rFonts w:ascii="Calibri" w:hAnsi="Calibri" w:cs="Calibri"/>
          <w:i/>
          <w:iCs/>
          <w:sz w:val="22"/>
          <w:szCs w:val="22"/>
          <w:lang w:val="en-US"/>
        </w:rPr>
        <w:t>N Engl J Med</w:t>
      </w:r>
      <w:r w:rsidRPr="009B0F6E">
        <w:rPr>
          <w:rFonts w:ascii="Calibri" w:hAnsi="Calibri" w:cs="Calibri"/>
          <w:sz w:val="22"/>
          <w:szCs w:val="22"/>
          <w:lang w:val="en-US"/>
        </w:rPr>
        <w:t>. 2011</w:t>
      </w:r>
      <w:proofErr w:type="gramStart"/>
      <w:r w:rsidRPr="009B0F6E">
        <w:rPr>
          <w:rFonts w:ascii="Calibri" w:hAnsi="Calibri" w:cs="Calibri"/>
          <w:sz w:val="22"/>
          <w:szCs w:val="22"/>
          <w:lang w:val="en-US"/>
        </w:rPr>
        <w:t>;365</w:t>
      </w:r>
      <w:proofErr w:type="gramEnd"/>
      <w:r w:rsidRPr="009B0F6E">
        <w:rPr>
          <w:rFonts w:ascii="Calibri" w:hAnsi="Calibri" w:cs="Calibri"/>
          <w:sz w:val="22"/>
          <w:szCs w:val="22"/>
          <w:lang w:val="en-US"/>
        </w:rPr>
        <w:t>(10):883</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891. </w:t>
      </w:r>
      <w:hyperlink r:id="rId88" w:history="1">
        <w:r w:rsidR="000C6287" w:rsidRPr="009B0F6E">
          <w:rPr>
            <w:rStyle w:val="Hyperlink"/>
            <w:rFonts w:ascii="Calibri" w:hAnsi="Calibri" w:cs="Calibri"/>
            <w:sz w:val="22"/>
            <w:szCs w:val="22"/>
            <w:lang w:val="en-US"/>
          </w:rPr>
          <w:t>[CrossRef]</w:t>
        </w:r>
      </w:hyperlink>
      <w:r w:rsidR="00DD60C0" w:rsidRPr="009B0F6E">
        <w:rPr>
          <w:rFonts w:ascii="Calibri" w:hAnsi="Calibri" w:cs="Calibri"/>
          <w:sz w:val="22"/>
          <w:szCs w:val="22"/>
          <w:lang w:val="en-US"/>
        </w:rPr>
        <w:t xml:space="preserve"> </w:t>
      </w:r>
      <w:hyperlink r:id="rId89" w:history="1">
        <w:r w:rsidR="000C6287" w:rsidRPr="009B0F6E">
          <w:rPr>
            <w:rStyle w:val="Hyperlink"/>
            <w:rFonts w:ascii="Calibri" w:hAnsi="Calibri" w:cs="Calibri"/>
            <w:sz w:val="22"/>
            <w:szCs w:val="22"/>
            <w:lang w:val="en-US"/>
          </w:rPr>
          <w:t>[PubMed]</w:t>
        </w:r>
      </w:hyperlink>
    </w:p>
    <w:p w14:paraId="30483715" w14:textId="4EC4E1BF"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Granger CB, Alexander JH, McMurray JJV, et al. Apixaban versus </w:t>
      </w:r>
      <w:r w:rsidR="00AE4C0E" w:rsidRPr="009B0F6E">
        <w:rPr>
          <w:rFonts w:ascii="Calibri" w:hAnsi="Calibri" w:cs="Calibri"/>
          <w:sz w:val="22"/>
          <w:szCs w:val="22"/>
          <w:lang w:val="en-US"/>
        </w:rPr>
        <w:t>warfarin in patients with atrial fibrillati</w:t>
      </w:r>
      <w:r w:rsidRPr="009B0F6E">
        <w:rPr>
          <w:rFonts w:ascii="Calibri" w:hAnsi="Calibri" w:cs="Calibri"/>
          <w:sz w:val="22"/>
          <w:szCs w:val="22"/>
          <w:lang w:val="en-US"/>
        </w:rPr>
        <w:t xml:space="preserve">on. </w:t>
      </w:r>
      <w:r w:rsidRPr="009B0F6E">
        <w:rPr>
          <w:rFonts w:ascii="Calibri" w:hAnsi="Calibri" w:cs="Calibri"/>
          <w:i/>
          <w:iCs/>
          <w:sz w:val="22"/>
          <w:szCs w:val="22"/>
          <w:lang w:val="en-US"/>
        </w:rPr>
        <w:t>N Engl J Med</w:t>
      </w:r>
      <w:r w:rsidRPr="009B0F6E">
        <w:rPr>
          <w:rFonts w:ascii="Calibri" w:hAnsi="Calibri" w:cs="Calibri"/>
          <w:sz w:val="22"/>
          <w:szCs w:val="22"/>
          <w:lang w:val="en-US"/>
        </w:rPr>
        <w:t>. 2011</w:t>
      </w:r>
      <w:proofErr w:type="gramStart"/>
      <w:r w:rsidRPr="009B0F6E">
        <w:rPr>
          <w:rFonts w:ascii="Calibri" w:hAnsi="Calibri" w:cs="Calibri"/>
          <w:sz w:val="22"/>
          <w:szCs w:val="22"/>
          <w:lang w:val="en-US"/>
        </w:rPr>
        <w:t>;365</w:t>
      </w:r>
      <w:proofErr w:type="gramEnd"/>
      <w:r w:rsidRPr="009B0F6E">
        <w:rPr>
          <w:rFonts w:ascii="Calibri" w:hAnsi="Calibri" w:cs="Calibri"/>
          <w:sz w:val="22"/>
          <w:szCs w:val="22"/>
          <w:lang w:val="en-US"/>
        </w:rPr>
        <w:t>(11):981</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992. </w:t>
      </w:r>
      <w:hyperlink r:id="rId90" w:history="1">
        <w:r w:rsidR="000C6287" w:rsidRPr="009B0F6E">
          <w:rPr>
            <w:rStyle w:val="Hyperlink"/>
            <w:rFonts w:ascii="Calibri" w:hAnsi="Calibri" w:cs="Calibri"/>
            <w:sz w:val="22"/>
            <w:szCs w:val="22"/>
            <w:lang w:val="en-US"/>
          </w:rPr>
          <w:t>[CrossRef]</w:t>
        </w:r>
      </w:hyperlink>
      <w:r w:rsidR="00AE4C0E" w:rsidRPr="009B0F6E">
        <w:rPr>
          <w:rFonts w:ascii="Calibri" w:hAnsi="Calibri" w:cs="Calibri"/>
          <w:sz w:val="22"/>
          <w:szCs w:val="22"/>
          <w:lang w:val="en-US"/>
        </w:rPr>
        <w:t xml:space="preserve"> </w:t>
      </w:r>
      <w:hyperlink r:id="rId91" w:history="1">
        <w:r w:rsidR="000C6287" w:rsidRPr="009B0F6E">
          <w:rPr>
            <w:rStyle w:val="Hyperlink"/>
            <w:rFonts w:ascii="Calibri" w:hAnsi="Calibri" w:cs="Calibri"/>
            <w:sz w:val="22"/>
            <w:szCs w:val="22"/>
            <w:lang w:val="en-US"/>
          </w:rPr>
          <w:t>[PubMed]</w:t>
        </w:r>
      </w:hyperlink>
    </w:p>
    <w:p w14:paraId="30483716" w14:textId="533CC8CA"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Steffel J, Collins R, Antz M, et al. 2021 European Heart Rhythm Association Practical Guide on the </w:t>
      </w:r>
      <w:r w:rsidR="00FA3C63" w:rsidRPr="009B0F6E">
        <w:rPr>
          <w:rFonts w:ascii="Calibri" w:hAnsi="Calibri" w:cs="Calibri"/>
          <w:sz w:val="22"/>
          <w:szCs w:val="22"/>
          <w:lang w:val="en-US"/>
        </w:rPr>
        <w:t>u</w:t>
      </w:r>
      <w:r w:rsidRPr="009B0F6E">
        <w:rPr>
          <w:rFonts w:ascii="Calibri" w:hAnsi="Calibri" w:cs="Calibri"/>
          <w:sz w:val="22"/>
          <w:szCs w:val="22"/>
          <w:lang w:val="en-US"/>
        </w:rPr>
        <w:t xml:space="preserve">se of </w:t>
      </w:r>
      <w:r w:rsidR="00FA3C63" w:rsidRPr="009B0F6E">
        <w:rPr>
          <w:rFonts w:ascii="Calibri" w:hAnsi="Calibri" w:cs="Calibri"/>
          <w:sz w:val="22"/>
          <w:szCs w:val="22"/>
          <w:lang w:val="en-US"/>
        </w:rPr>
        <w:t>n</w:t>
      </w:r>
      <w:r w:rsidRPr="009B0F6E">
        <w:rPr>
          <w:rFonts w:ascii="Calibri" w:hAnsi="Calibri" w:cs="Calibri"/>
          <w:sz w:val="22"/>
          <w:szCs w:val="22"/>
          <w:lang w:val="en-US"/>
        </w:rPr>
        <w:t>on-</w:t>
      </w:r>
      <w:r w:rsidR="00FA3C63" w:rsidRPr="009B0F6E">
        <w:rPr>
          <w:rFonts w:ascii="Calibri" w:hAnsi="Calibri" w:cs="Calibri"/>
          <w:sz w:val="22"/>
          <w:szCs w:val="22"/>
          <w:lang w:val="en-US"/>
        </w:rPr>
        <w:t>v</w:t>
      </w:r>
      <w:r w:rsidRPr="009B0F6E">
        <w:rPr>
          <w:rFonts w:ascii="Calibri" w:hAnsi="Calibri" w:cs="Calibri"/>
          <w:sz w:val="22"/>
          <w:szCs w:val="22"/>
          <w:lang w:val="en-US"/>
        </w:rPr>
        <w:t xml:space="preserve">itamin K </w:t>
      </w:r>
      <w:r w:rsidR="00FA3C63" w:rsidRPr="009B0F6E">
        <w:rPr>
          <w:rFonts w:ascii="Calibri" w:hAnsi="Calibri" w:cs="Calibri"/>
          <w:sz w:val="22"/>
          <w:szCs w:val="22"/>
          <w:lang w:val="en-US"/>
        </w:rPr>
        <w:t>a</w:t>
      </w:r>
      <w:r w:rsidRPr="009B0F6E">
        <w:rPr>
          <w:rFonts w:ascii="Calibri" w:hAnsi="Calibri" w:cs="Calibri"/>
          <w:sz w:val="22"/>
          <w:szCs w:val="22"/>
          <w:lang w:val="en-US"/>
        </w:rPr>
        <w:t xml:space="preserve">ntagonist </w:t>
      </w:r>
      <w:r w:rsidR="00FA3C63" w:rsidRPr="009B0F6E">
        <w:rPr>
          <w:rFonts w:ascii="Calibri" w:hAnsi="Calibri" w:cs="Calibri"/>
          <w:sz w:val="22"/>
          <w:szCs w:val="22"/>
          <w:lang w:val="en-US"/>
        </w:rPr>
        <w:t>o</w:t>
      </w:r>
      <w:r w:rsidRPr="009B0F6E">
        <w:rPr>
          <w:rFonts w:ascii="Calibri" w:hAnsi="Calibri" w:cs="Calibri"/>
          <w:sz w:val="22"/>
          <w:szCs w:val="22"/>
          <w:lang w:val="en-US"/>
        </w:rPr>
        <w:t xml:space="preserve">ral </w:t>
      </w:r>
      <w:r w:rsidR="00FA3C63" w:rsidRPr="009B0F6E">
        <w:rPr>
          <w:rFonts w:ascii="Calibri" w:hAnsi="Calibri" w:cs="Calibri"/>
          <w:sz w:val="22"/>
          <w:szCs w:val="22"/>
          <w:lang w:val="en-US"/>
        </w:rPr>
        <w:t>a</w:t>
      </w:r>
      <w:r w:rsidRPr="009B0F6E">
        <w:rPr>
          <w:rFonts w:ascii="Calibri" w:hAnsi="Calibri" w:cs="Calibri"/>
          <w:sz w:val="22"/>
          <w:szCs w:val="22"/>
          <w:lang w:val="en-US"/>
        </w:rPr>
        <w:t xml:space="preserve">nticoagulants in </w:t>
      </w:r>
      <w:r w:rsidR="00FA3C63" w:rsidRPr="009B0F6E">
        <w:rPr>
          <w:rFonts w:ascii="Calibri" w:hAnsi="Calibri" w:cs="Calibri"/>
          <w:sz w:val="22"/>
          <w:szCs w:val="22"/>
          <w:lang w:val="en-US"/>
        </w:rPr>
        <w:t>p</w:t>
      </w:r>
      <w:r w:rsidRPr="009B0F6E">
        <w:rPr>
          <w:rFonts w:ascii="Calibri" w:hAnsi="Calibri" w:cs="Calibri"/>
          <w:sz w:val="22"/>
          <w:szCs w:val="22"/>
          <w:lang w:val="en-US"/>
        </w:rPr>
        <w:t xml:space="preserve">atients with </w:t>
      </w:r>
      <w:r w:rsidR="00FA3C63" w:rsidRPr="009B0F6E">
        <w:rPr>
          <w:rFonts w:ascii="Calibri" w:hAnsi="Calibri" w:cs="Calibri"/>
          <w:sz w:val="22"/>
          <w:szCs w:val="22"/>
          <w:lang w:val="en-US"/>
        </w:rPr>
        <w:t>a</w:t>
      </w:r>
      <w:r w:rsidRPr="009B0F6E">
        <w:rPr>
          <w:rFonts w:ascii="Calibri" w:hAnsi="Calibri" w:cs="Calibri"/>
          <w:sz w:val="22"/>
          <w:szCs w:val="22"/>
          <w:lang w:val="en-US"/>
        </w:rPr>
        <w:t xml:space="preserve">trial </w:t>
      </w:r>
      <w:r w:rsidR="00FA3C63" w:rsidRPr="009B0F6E">
        <w:rPr>
          <w:rFonts w:ascii="Calibri" w:hAnsi="Calibri" w:cs="Calibri"/>
          <w:sz w:val="22"/>
          <w:szCs w:val="22"/>
          <w:lang w:val="en-US"/>
        </w:rPr>
        <w:t>f</w:t>
      </w:r>
      <w:r w:rsidRPr="009B0F6E">
        <w:rPr>
          <w:rFonts w:ascii="Calibri" w:hAnsi="Calibri" w:cs="Calibri"/>
          <w:sz w:val="22"/>
          <w:szCs w:val="22"/>
          <w:lang w:val="en-US"/>
        </w:rPr>
        <w:t xml:space="preserve">ibrillation. </w:t>
      </w:r>
      <w:r w:rsidRPr="009B0F6E">
        <w:rPr>
          <w:rFonts w:ascii="Calibri" w:hAnsi="Calibri" w:cs="Calibri"/>
          <w:i/>
          <w:iCs/>
          <w:sz w:val="22"/>
          <w:szCs w:val="22"/>
          <w:lang w:val="en-US"/>
        </w:rPr>
        <w:t>Eur</w:t>
      </w:r>
      <w:r w:rsidR="0013402B" w:rsidRPr="009B0F6E">
        <w:rPr>
          <w:rFonts w:ascii="Calibri" w:hAnsi="Calibri" w:cs="Calibri"/>
          <w:i/>
          <w:iCs/>
          <w:sz w:val="22"/>
          <w:szCs w:val="22"/>
          <w:lang w:val="en-US"/>
        </w:rPr>
        <w:t>opace</w:t>
      </w:r>
      <w:r w:rsidRPr="009B0F6E">
        <w:rPr>
          <w:rFonts w:ascii="Calibri" w:hAnsi="Calibri" w:cs="Calibri"/>
          <w:sz w:val="22"/>
          <w:szCs w:val="22"/>
          <w:lang w:val="en-US"/>
        </w:rPr>
        <w:t>. 2021</w:t>
      </w:r>
      <w:proofErr w:type="gramStart"/>
      <w:r w:rsidRPr="009B0F6E">
        <w:rPr>
          <w:rFonts w:ascii="Calibri" w:hAnsi="Calibri" w:cs="Calibri"/>
          <w:sz w:val="22"/>
          <w:szCs w:val="22"/>
          <w:lang w:val="en-US"/>
        </w:rPr>
        <w:t>;23</w:t>
      </w:r>
      <w:proofErr w:type="gramEnd"/>
      <w:r w:rsidRPr="009B0F6E">
        <w:rPr>
          <w:rFonts w:ascii="Calibri" w:hAnsi="Calibri" w:cs="Calibri"/>
          <w:sz w:val="22"/>
          <w:szCs w:val="22"/>
          <w:lang w:val="en-US"/>
        </w:rPr>
        <w:t>(10):1612</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1676. </w:t>
      </w:r>
      <w:hyperlink r:id="rId92" w:history="1">
        <w:r w:rsidR="000C6287" w:rsidRPr="009B0F6E">
          <w:rPr>
            <w:rStyle w:val="Hyperlink"/>
            <w:rFonts w:ascii="Calibri" w:hAnsi="Calibri" w:cs="Calibri"/>
            <w:sz w:val="22"/>
            <w:szCs w:val="22"/>
            <w:lang w:val="en-US"/>
          </w:rPr>
          <w:t>[CrossRef]</w:t>
        </w:r>
      </w:hyperlink>
      <w:r w:rsidR="00E678A6" w:rsidRPr="009B0F6E">
        <w:rPr>
          <w:rFonts w:ascii="Calibri" w:hAnsi="Calibri" w:cs="Calibri"/>
          <w:sz w:val="22"/>
          <w:szCs w:val="22"/>
          <w:lang w:val="en-US"/>
        </w:rPr>
        <w:t xml:space="preserve"> </w:t>
      </w:r>
      <w:hyperlink r:id="rId93" w:history="1">
        <w:r w:rsidR="000C6287" w:rsidRPr="009B0F6E">
          <w:rPr>
            <w:rStyle w:val="Hyperlink"/>
            <w:rFonts w:ascii="Calibri" w:hAnsi="Calibri" w:cs="Calibri"/>
            <w:sz w:val="22"/>
            <w:szCs w:val="22"/>
            <w:lang w:val="en-US"/>
          </w:rPr>
          <w:t>[PubMed]</w:t>
        </w:r>
      </w:hyperlink>
    </w:p>
    <w:p w14:paraId="30483717" w14:textId="5480D2F2"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Glikson M, Wolff R, Hindricks G, et al. EHRA/EAPCI expert consensus statement on catheter-based left atrial appendage occlusion – an update.</w:t>
      </w:r>
      <w:r w:rsidR="005B04CC" w:rsidRPr="009B0F6E">
        <w:rPr>
          <w:rFonts w:ascii="Calibri" w:hAnsi="Calibri" w:cs="Calibri"/>
          <w:sz w:val="22"/>
          <w:szCs w:val="22"/>
          <w:lang w:val="en-US"/>
        </w:rPr>
        <w:t xml:space="preserve"> </w:t>
      </w:r>
      <w:r w:rsidR="005B04CC" w:rsidRPr="001E0E29">
        <w:rPr>
          <w:rFonts w:ascii="Calibri" w:hAnsi="Calibri" w:cs="Calibri"/>
          <w:i/>
          <w:sz w:val="22"/>
          <w:szCs w:val="22"/>
          <w:lang w:val="en-US"/>
        </w:rPr>
        <w:t>EuroIntervention</w:t>
      </w:r>
      <w:r w:rsidR="005B04CC" w:rsidRPr="009B0F6E">
        <w:rPr>
          <w:rFonts w:ascii="Calibri" w:hAnsi="Calibri" w:cs="Calibri"/>
          <w:sz w:val="22"/>
          <w:szCs w:val="22"/>
          <w:lang w:val="en-US"/>
        </w:rPr>
        <w:t>. 2020</w:t>
      </w:r>
      <w:proofErr w:type="gramStart"/>
      <w:r w:rsidR="005B04CC" w:rsidRPr="009B0F6E">
        <w:rPr>
          <w:rFonts w:ascii="Calibri" w:hAnsi="Calibri" w:cs="Calibri"/>
          <w:sz w:val="22"/>
          <w:szCs w:val="22"/>
          <w:lang w:val="en-US"/>
        </w:rPr>
        <w:t>;15</w:t>
      </w:r>
      <w:proofErr w:type="gramEnd"/>
      <w:r w:rsidR="005B04CC" w:rsidRPr="009B0F6E">
        <w:rPr>
          <w:rFonts w:ascii="Calibri" w:hAnsi="Calibri" w:cs="Calibri"/>
          <w:sz w:val="22"/>
          <w:szCs w:val="22"/>
          <w:lang w:val="en-US"/>
        </w:rPr>
        <w:t>(13):1133</w:t>
      </w:r>
      <w:r w:rsidR="008B795B" w:rsidRPr="009B0F6E">
        <w:rPr>
          <w:rFonts w:ascii="Calibri" w:hAnsi="Calibri" w:cs="Calibri"/>
          <w:sz w:val="22"/>
          <w:szCs w:val="22"/>
          <w:lang w:val="en-US"/>
        </w:rPr>
        <w:t>–</w:t>
      </w:r>
      <w:r w:rsidR="005B04CC" w:rsidRPr="009B0F6E">
        <w:rPr>
          <w:rFonts w:ascii="Calibri" w:hAnsi="Calibri" w:cs="Calibri"/>
          <w:sz w:val="22"/>
          <w:szCs w:val="22"/>
          <w:lang w:val="en-US"/>
        </w:rPr>
        <w:t>1180.</w:t>
      </w:r>
      <w:r w:rsidRPr="009B0F6E">
        <w:rPr>
          <w:rFonts w:ascii="Calibri" w:hAnsi="Calibri" w:cs="Calibri"/>
          <w:sz w:val="22"/>
          <w:szCs w:val="22"/>
          <w:lang w:val="en-US"/>
        </w:rPr>
        <w:t xml:space="preserve"> </w:t>
      </w:r>
      <w:hyperlink r:id="rId94" w:history="1">
        <w:r w:rsidR="000C6287" w:rsidRPr="009B0F6E">
          <w:rPr>
            <w:rStyle w:val="Hyperlink"/>
            <w:rFonts w:ascii="Calibri" w:hAnsi="Calibri" w:cs="Calibri"/>
            <w:sz w:val="22"/>
            <w:szCs w:val="22"/>
            <w:lang w:val="en-US"/>
          </w:rPr>
          <w:t>[CrossRef]</w:t>
        </w:r>
      </w:hyperlink>
      <w:r w:rsidR="005B04CC" w:rsidRPr="009B0F6E">
        <w:rPr>
          <w:rFonts w:ascii="Calibri" w:hAnsi="Calibri" w:cs="Calibri"/>
          <w:sz w:val="22"/>
          <w:szCs w:val="22"/>
          <w:lang w:val="en-US"/>
        </w:rPr>
        <w:t xml:space="preserve"> </w:t>
      </w:r>
      <w:hyperlink r:id="rId95" w:history="1">
        <w:r w:rsidR="000C6287" w:rsidRPr="009B0F6E">
          <w:rPr>
            <w:rStyle w:val="Hyperlink"/>
            <w:rFonts w:ascii="Calibri" w:hAnsi="Calibri" w:cs="Calibri"/>
            <w:sz w:val="22"/>
            <w:szCs w:val="22"/>
            <w:lang w:val="en-US"/>
          </w:rPr>
          <w:t>[PubMed]</w:t>
        </w:r>
      </w:hyperlink>
    </w:p>
    <w:p w14:paraId="30483718" w14:textId="3D22CFAF"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Boersma LV, Ince H, Kische S, et al. Efficacy and safety of left atrial appendage closure with WATCHMAN in patients with or without contraindication to oral anticoagulation: 1-</w:t>
      </w:r>
      <w:r w:rsidR="00723975" w:rsidRPr="009B0F6E">
        <w:rPr>
          <w:rFonts w:ascii="Calibri" w:hAnsi="Calibri" w:cs="Calibri"/>
          <w:sz w:val="22"/>
          <w:szCs w:val="22"/>
          <w:lang w:val="en-US"/>
        </w:rPr>
        <w:t>y</w:t>
      </w:r>
      <w:r w:rsidRPr="009B0F6E">
        <w:rPr>
          <w:rFonts w:ascii="Calibri" w:hAnsi="Calibri" w:cs="Calibri"/>
          <w:sz w:val="22"/>
          <w:szCs w:val="22"/>
          <w:lang w:val="en-US"/>
        </w:rPr>
        <w:t xml:space="preserve">ear follow-up outcome data of the EWOLUTION trial. </w:t>
      </w:r>
      <w:r w:rsidRPr="009B0F6E">
        <w:rPr>
          <w:rFonts w:ascii="Calibri" w:hAnsi="Calibri" w:cs="Calibri"/>
          <w:i/>
          <w:iCs/>
          <w:sz w:val="22"/>
          <w:szCs w:val="22"/>
          <w:lang w:val="en-US"/>
        </w:rPr>
        <w:t>Heart Rhythm</w:t>
      </w:r>
      <w:r w:rsidRPr="009B0F6E">
        <w:rPr>
          <w:rFonts w:ascii="Calibri" w:hAnsi="Calibri" w:cs="Calibri"/>
          <w:sz w:val="22"/>
          <w:szCs w:val="22"/>
          <w:lang w:val="en-US"/>
        </w:rPr>
        <w:t>. 2017</w:t>
      </w:r>
      <w:proofErr w:type="gramStart"/>
      <w:r w:rsidRPr="009B0F6E">
        <w:rPr>
          <w:rFonts w:ascii="Calibri" w:hAnsi="Calibri" w:cs="Calibri"/>
          <w:sz w:val="22"/>
          <w:szCs w:val="22"/>
          <w:lang w:val="en-US"/>
        </w:rPr>
        <w:t>;14</w:t>
      </w:r>
      <w:proofErr w:type="gramEnd"/>
      <w:r w:rsidRPr="009B0F6E">
        <w:rPr>
          <w:rFonts w:ascii="Calibri" w:hAnsi="Calibri" w:cs="Calibri"/>
          <w:sz w:val="22"/>
          <w:szCs w:val="22"/>
          <w:lang w:val="en-US"/>
        </w:rPr>
        <w:t>(9):1302</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1308. </w:t>
      </w:r>
      <w:hyperlink r:id="rId96" w:history="1">
        <w:r w:rsidR="000C6287" w:rsidRPr="009B0F6E">
          <w:rPr>
            <w:rStyle w:val="Hyperlink"/>
            <w:rFonts w:ascii="Calibri" w:hAnsi="Calibri" w:cs="Calibri"/>
            <w:sz w:val="22"/>
            <w:szCs w:val="22"/>
            <w:lang w:val="en-US"/>
          </w:rPr>
          <w:t>[CrossRef]</w:t>
        </w:r>
      </w:hyperlink>
      <w:r w:rsidR="009145BB" w:rsidRPr="009B0F6E">
        <w:rPr>
          <w:rFonts w:ascii="Calibri" w:hAnsi="Calibri" w:cs="Calibri"/>
          <w:sz w:val="22"/>
          <w:szCs w:val="22"/>
          <w:lang w:val="en-US"/>
        </w:rPr>
        <w:t xml:space="preserve"> </w:t>
      </w:r>
      <w:hyperlink r:id="rId97" w:history="1">
        <w:r w:rsidR="000C6287" w:rsidRPr="009B0F6E">
          <w:rPr>
            <w:rStyle w:val="Hyperlink"/>
            <w:rFonts w:ascii="Calibri" w:hAnsi="Calibri" w:cs="Calibri"/>
            <w:sz w:val="22"/>
            <w:szCs w:val="22"/>
            <w:lang w:val="en-US"/>
          </w:rPr>
          <w:t>[PubMed]</w:t>
        </w:r>
      </w:hyperlink>
    </w:p>
    <w:p w14:paraId="30483719" w14:textId="24DB766A"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Nazir S, Ahuja KR, Kolte D, et al. Association of </w:t>
      </w:r>
      <w:r w:rsidR="00C54DD4" w:rsidRPr="009B0F6E">
        <w:rPr>
          <w:rFonts w:ascii="Calibri" w:hAnsi="Calibri" w:cs="Calibri"/>
          <w:sz w:val="22"/>
          <w:szCs w:val="22"/>
          <w:lang w:val="en-US"/>
        </w:rPr>
        <w:t>hospital procedural volume with outcomes of percutaneous left atrial appendage occlusion</w:t>
      </w:r>
      <w:r w:rsidRPr="009B0F6E">
        <w:rPr>
          <w:rFonts w:ascii="Calibri" w:hAnsi="Calibri" w:cs="Calibri"/>
          <w:sz w:val="22"/>
          <w:szCs w:val="22"/>
          <w:lang w:val="en-US"/>
        </w:rPr>
        <w:t xml:space="preserve">. </w:t>
      </w:r>
      <w:r w:rsidRPr="009B0F6E">
        <w:rPr>
          <w:rFonts w:ascii="Calibri" w:hAnsi="Calibri" w:cs="Calibri"/>
          <w:i/>
          <w:iCs/>
          <w:sz w:val="22"/>
          <w:szCs w:val="22"/>
          <w:lang w:val="en-US"/>
        </w:rPr>
        <w:t>JACC Cardiovasc Interv</w:t>
      </w:r>
      <w:r w:rsidRPr="009B0F6E">
        <w:rPr>
          <w:rFonts w:ascii="Calibri" w:hAnsi="Calibri" w:cs="Calibri"/>
          <w:sz w:val="22"/>
          <w:szCs w:val="22"/>
          <w:lang w:val="en-US"/>
        </w:rPr>
        <w:t>. 2021</w:t>
      </w:r>
      <w:proofErr w:type="gramStart"/>
      <w:r w:rsidRPr="009B0F6E">
        <w:rPr>
          <w:rFonts w:ascii="Calibri" w:hAnsi="Calibri" w:cs="Calibri"/>
          <w:sz w:val="22"/>
          <w:szCs w:val="22"/>
          <w:lang w:val="en-US"/>
        </w:rPr>
        <w:t>;14</w:t>
      </w:r>
      <w:proofErr w:type="gramEnd"/>
      <w:r w:rsidRPr="009B0F6E">
        <w:rPr>
          <w:rFonts w:ascii="Calibri" w:hAnsi="Calibri" w:cs="Calibri"/>
          <w:sz w:val="22"/>
          <w:szCs w:val="22"/>
          <w:lang w:val="en-US"/>
        </w:rPr>
        <w:t>(5):554</w:t>
      </w:r>
      <w:r w:rsidR="008B795B" w:rsidRPr="009B0F6E">
        <w:rPr>
          <w:rFonts w:ascii="Calibri" w:hAnsi="Calibri" w:cs="Calibri"/>
          <w:sz w:val="22"/>
          <w:szCs w:val="22"/>
          <w:lang w:val="en-US"/>
        </w:rPr>
        <w:t>–</w:t>
      </w:r>
      <w:r w:rsidRPr="009B0F6E">
        <w:rPr>
          <w:rFonts w:ascii="Calibri" w:hAnsi="Calibri" w:cs="Calibri"/>
          <w:sz w:val="22"/>
          <w:szCs w:val="22"/>
          <w:lang w:val="en-US"/>
        </w:rPr>
        <w:t xml:space="preserve">561. </w:t>
      </w:r>
      <w:hyperlink r:id="rId98" w:history="1">
        <w:r w:rsidR="000C6287" w:rsidRPr="009B0F6E">
          <w:rPr>
            <w:rStyle w:val="Hyperlink"/>
            <w:rFonts w:ascii="Calibri" w:hAnsi="Calibri" w:cs="Calibri"/>
            <w:sz w:val="22"/>
            <w:szCs w:val="22"/>
            <w:lang w:val="en-US"/>
          </w:rPr>
          <w:t>[CrossRef]</w:t>
        </w:r>
      </w:hyperlink>
      <w:r w:rsidR="00C54DD4" w:rsidRPr="009B0F6E">
        <w:rPr>
          <w:rFonts w:ascii="Calibri" w:hAnsi="Calibri" w:cs="Calibri"/>
          <w:sz w:val="22"/>
          <w:szCs w:val="22"/>
          <w:lang w:val="en-US"/>
        </w:rPr>
        <w:t xml:space="preserve"> </w:t>
      </w:r>
      <w:hyperlink r:id="rId99" w:history="1">
        <w:r w:rsidR="000C6287" w:rsidRPr="009B0F6E">
          <w:rPr>
            <w:rStyle w:val="Hyperlink"/>
            <w:rFonts w:ascii="Calibri" w:hAnsi="Calibri" w:cs="Calibri"/>
            <w:sz w:val="22"/>
            <w:szCs w:val="22"/>
            <w:lang w:val="en-US"/>
          </w:rPr>
          <w:t>[PubMed]</w:t>
        </w:r>
      </w:hyperlink>
    </w:p>
    <w:p w14:paraId="5941F490" w14:textId="7698F8E3" w:rsidR="00980B6B" w:rsidRPr="001E0E29" w:rsidRDefault="00980B6B" w:rsidP="00347C06">
      <w:pPr>
        <w:pStyle w:val="Bibliography"/>
        <w:widowControl w:val="0"/>
        <w:numPr>
          <w:ilvl w:val="0"/>
          <w:numId w:val="3"/>
        </w:numPr>
        <w:spacing w:after="0"/>
        <w:ind w:left="360"/>
        <w:rPr>
          <w:rFonts w:ascii="Calibri" w:hAnsi="Calibri" w:cs="Calibri"/>
          <w:sz w:val="22"/>
          <w:szCs w:val="22"/>
          <w:lang w:val="en-IN"/>
        </w:rPr>
      </w:pPr>
      <w:r w:rsidRPr="009B0F6E">
        <w:rPr>
          <w:rFonts w:ascii="Calibri" w:hAnsi="Calibri" w:cs="Calibri"/>
          <w:sz w:val="22"/>
          <w:szCs w:val="22"/>
          <w:lang w:val="en-US"/>
        </w:rPr>
        <w:t xml:space="preserve">Freeman JV, Varosy P, Price MJ, et al. The NCDR left atrial appendage occlusion registry. </w:t>
      </w:r>
      <w:r w:rsidRPr="001E0E29">
        <w:rPr>
          <w:rFonts w:ascii="Calibri" w:hAnsi="Calibri" w:cs="Calibri"/>
          <w:i/>
          <w:iCs/>
          <w:sz w:val="22"/>
          <w:szCs w:val="22"/>
          <w:lang w:val="en-IN"/>
        </w:rPr>
        <w:t>J Am Coll Cardiol</w:t>
      </w:r>
      <w:r w:rsidRPr="001E0E29">
        <w:rPr>
          <w:rFonts w:ascii="Calibri" w:hAnsi="Calibri" w:cs="Calibri"/>
          <w:sz w:val="22"/>
          <w:szCs w:val="22"/>
          <w:lang w:val="en-IN"/>
        </w:rPr>
        <w:t>. 2020</w:t>
      </w:r>
      <w:proofErr w:type="gramStart"/>
      <w:r w:rsidRPr="001E0E29">
        <w:rPr>
          <w:rFonts w:ascii="Calibri" w:hAnsi="Calibri" w:cs="Calibri"/>
          <w:sz w:val="22"/>
          <w:szCs w:val="22"/>
          <w:lang w:val="en-IN"/>
        </w:rPr>
        <w:t>;75</w:t>
      </w:r>
      <w:proofErr w:type="gramEnd"/>
      <w:r w:rsidRPr="001E0E29">
        <w:rPr>
          <w:rFonts w:ascii="Calibri" w:hAnsi="Calibri" w:cs="Calibri"/>
          <w:sz w:val="22"/>
          <w:szCs w:val="22"/>
          <w:lang w:val="en-IN"/>
        </w:rPr>
        <w:t xml:space="preserve">(13):1503–1518. </w:t>
      </w:r>
      <w:hyperlink r:id="rId100" w:history="1">
        <w:r w:rsidRPr="009B0F6E">
          <w:rPr>
            <w:rStyle w:val="Hyperlink"/>
            <w:rFonts w:ascii="Calibri" w:hAnsi="Calibri" w:cs="Calibri"/>
            <w:sz w:val="22"/>
            <w:szCs w:val="22"/>
          </w:rPr>
          <w:t>[CrossRef]</w:t>
        </w:r>
      </w:hyperlink>
      <w:r w:rsidRPr="001E0E29">
        <w:rPr>
          <w:rFonts w:ascii="Calibri" w:hAnsi="Calibri" w:cs="Calibri"/>
          <w:sz w:val="22"/>
          <w:szCs w:val="22"/>
          <w:lang w:val="en-IN"/>
        </w:rPr>
        <w:t xml:space="preserve"> </w:t>
      </w:r>
      <w:hyperlink r:id="rId101" w:history="1">
        <w:r w:rsidRPr="009B0F6E">
          <w:rPr>
            <w:rStyle w:val="Hyperlink"/>
            <w:rFonts w:ascii="Calibri" w:hAnsi="Calibri" w:cs="Calibri"/>
            <w:sz w:val="22"/>
            <w:szCs w:val="22"/>
            <w:lang w:val="en-IN"/>
          </w:rPr>
          <w:t>[PubMed]</w:t>
        </w:r>
      </w:hyperlink>
    </w:p>
    <w:p w14:paraId="5250118D" w14:textId="7921AC21"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1E0E29">
        <w:rPr>
          <w:rFonts w:ascii="Calibri" w:hAnsi="Calibri" w:cs="Calibri"/>
          <w:sz w:val="22"/>
          <w:szCs w:val="22"/>
          <w:lang w:val="nl-BE"/>
        </w:rPr>
        <w:t xml:space="preserve">Osmancik P, Herman D, Neuzil P, et al. </w:t>
      </w:r>
      <w:r w:rsidRPr="009B0F6E">
        <w:rPr>
          <w:rFonts w:ascii="Calibri" w:hAnsi="Calibri" w:cs="Calibri"/>
          <w:sz w:val="22"/>
          <w:szCs w:val="22"/>
          <w:lang w:val="en-US"/>
        </w:rPr>
        <w:t xml:space="preserve">Left atrial appendage closure versus direct oral anticoagulants in high-risk patients with atrial fibrillation. </w:t>
      </w:r>
      <w:r w:rsidRPr="009B0F6E">
        <w:rPr>
          <w:rFonts w:ascii="Calibri" w:hAnsi="Calibri" w:cs="Calibri"/>
          <w:i/>
          <w:iCs/>
          <w:sz w:val="22"/>
          <w:szCs w:val="22"/>
          <w:lang w:val="en-US"/>
        </w:rPr>
        <w:t>J Am Coll Cardiol</w:t>
      </w:r>
      <w:r w:rsidRPr="009B0F6E">
        <w:rPr>
          <w:rFonts w:ascii="Calibri" w:hAnsi="Calibri" w:cs="Calibri"/>
          <w:sz w:val="22"/>
          <w:szCs w:val="22"/>
          <w:lang w:val="en-US"/>
        </w:rPr>
        <w:t>. 2020</w:t>
      </w:r>
      <w:proofErr w:type="gramStart"/>
      <w:r w:rsidRPr="009B0F6E">
        <w:rPr>
          <w:rFonts w:ascii="Calibri" w:hAnsi="Calibri" w:cs="Calibri"/>
          <w:sz w:val="22"/>
          <w:szCs w:val="22"/>
          <w:lang w:val="en-US"/>
        </w:rPr>
        <w:t>;75</w:t>
      </w:r>
      <w:proofErr w:type="gramEnd"/>
      <w:r w:rsidRPr="009B0F6E">
        <w:rPr>
          <w:rFonts w:ascii="Calibri" w:hAnsi="Calibri" w:cs="Calibri"/>
          <w:sz w:val="22"/>
          <w:szCs w:val="22"/>
          <w:lang w:val="en-US"/>
        </w:rPr>
        <w:t xml:space="preserve">(25):3122–3135. </w:t>
      </w:r>
      <w:hyperlink r:id="rId102"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03" w:history="1">
        <w:r w:rsidRPr="009B0F6E">
          <w:rPr>
            <w:rStyle w:val="Hyperlink"/>
            <w:rFonts w:ascii="Calibri" w:hAnsi="Calibri" w:cs="Calibri"/>
            <w:sz w:val="22"/>
            <w:szCs w:val="22"/>
            <w:lang w:val="en-US"/>
          </w:rPr>
          <w:t>[PubMed]</w:t>
        </w:r>
      </w:hyperlink>
    </w:p>
    <w:p w14:paraId="64BE34DF" w14:textId="7C8678B2"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Osmancik P, Herman D, Neuzil P, et al. 4-Year outcomes after left atrial appendage closure versus nonwarfarin oral anticoagulation for atrial fibrillation. </w:t>
      </w:r>
      <w:r w:rsidRPr="009B0F6E">
        <w:rPr>
          <w:rFonts w:ascii="Calibri" w:hAnsi="Calibri" w:cs="Calibri"/>
          <w:i/>
          <w:iCs/>
          <w:sz w:val="22"/>
          <w:szCs w:val="22"/>
          <w:lang w:val="en-US"/>
        </w:rPr>
        <w:t>J Am Coll Cardiol</w:t>
      </w:r>
      <w:r w:rsidRPr="009B0F6E">
        <w:rPr>
          <w:rFonts w:ascii="Calibri" w:hAnsi="Calibri" w:cs="Calibri"/>
          <w:sz w:val="22"/>
          <w:szCs w:val="22"/>
          <w:lang w:val="en-US"/>
        </w:rPr>
        <w:t>. 2022</w:t>
      </w:r>
      <w:proofErr w:type="gramStart"/>
      <w:r w:rsidRPr="009B0F6E">
        <w:rPr>
          <w:rFonts w:ascii="Calibri" w:hAnsi="Calibri" w:cs="Calibri"/>
          <w:sz w:val="22"/>
          <w:szCs w:val="22"/>
          <w:lang w:val="en-US"/>
        </w:rPr>
        <w:t>;79</w:t>
      </w:r>
      <w:proofErr w:type="gramEnd"/>
      <w:r w:rsidRPr="009B0F6E">
        <w:rPr>
          <w:rFonts w:ascii="Calibri" w:hAnsi="Calibri" w:cs="Calibri"/>
          <w:sz w:val="22"/>
          <w:szCs w:val="22"/>
          <w:lang w:val="en-US"/>
        </w:rPr>
        <w:t xml:space="preserve">(1):1–14. </w:t>
      </w:r>
      <w:hyperlink r:id="rId104"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05" w:history="1">
        <w:r w:rsidRPr="009B0F6E">
          <w:rPr>
            <w:rStyle w:val="Hyperlink"/>
            <w:rFonts w:ascii="Calibri" w:hAnsi="Calibri" w:cs="Calibri"/>
            <w:sz w:val="22"/>
            <w:szCs w:val="22"/>
            <w:lang w:val="en-US"/>
          </w:rPr>
          <w:t>[PubMed]</w:t>
        </w:r>
      </w:hyperlink>
    </w:p>
    <w:p w14:paraId="6FFF495E" w14:textId="1C6AB9E5"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nl-BE"/>
        </w:rPr>
        <w:t xml:space="preserve">Wazni OM, Saliba WI, Nair DG, et al. </w:t>
      </w:r>
      <w:r w:rsidRPr="009B0F6E">
        <w:rPr>
          <w:rFonts w:ascii="Calibri" w:hAnsi="Calibri" w:cs="Calibri"/>
          <w:sz w:val="22"/>
          <w:szCs w:val="22"/>
          <w:lang w:val="en-US"/>
        </w:rPr>
        <w:t xml:space="preserve">Left atrial appendage closure after ablation for atrial fibrillation. </w:t>
      </w:r>
      <w:r w:rsidRPr="009B0F6E">
        <w:rPr>
          <w:rFonts w:ascii="Calibri" w:hAnsi="Calibri" w:cs="Calibri"/>
          <w:i/>
          <w:iCs/>
          <w:sz w:val="22"/>
          <w:szCs w:val="22"/>
          <w:lang w:val="en-US"/>
        </w:rPr>
        <w:t>N Engl J Med</w:t>
      </w:r>
      <w:r w:rsidRPr="009B0F6E">
        <w:rPr>
          <w:rFonts w:ascii="Calibri" w:hAnsi="Calibri" w:cs="Calibri"/>
          <w:sz w:val="22"/>
          <w:szCs w:val="22"/>
          <w:lang w:val="en-US"/>
        </w:rPr>
        <w:t>. 2025</w:t>
      </w:r>
      <w:proofErr w:type="gramStart"/>
      <w:r w:rsidRPr="009B0F6E">
        <w:rPr>
          <w:rFonts w:ascii="Calibri" w:hAnsi="Calibri" w:cs="Calibri"/>
          <w:sz w:val="22"/>
          <w:szCs w:val="22"/>
          <w:lang w:val="en-US"/>
        </w:rPr>
        <w:t>;392</w:t>
      </w:r>
      <w:proofErr w:type="gramEnd"/>
      <w:r w:rsidRPr="009B0F6E">
        <w:rPr>
          <w:rFonts w:ascii="Calibri" w:hAnsi="Calibri" w:cs="Calibri"/>
          <w:sz w:val="22"/>
          <w:szCs w:val="22"/>
          <w:lang w:val="en-US"/>
        </w:rPr>
        <w:t xml:space="preserve">(13):1277–1287. </w:t>
      </w:r>
      <w:hyperlink r:id="rId106"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07" w:history="1">
        <w:r w:rsidRPr="009B0F6E">
          <w:rPr>
            <w:rStyle w:val="Hyperlink"/>
            <w:rFonts w:ascii="Calibri" w:hAnsi="Calibri" w:cs="Calibri"/>
            <w:sz w:val="22"/>
            <w:szCs w:val="22"/>
            <w:lang w:val="en-US"/>
          </w:rPr>
          <w:t>[PubMed]</w:t>
        </w:r>
      </w:hyperlink>
    </w:p>
    <w:p w14:paraId="2FAE8CBE" w14:textId="1FE79EB6"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1E0E29">
        <w:rPr>
          <w:rFonts w:ascii="Calibri" w:hAnsi="Calibri" w:cs="Calibri"/>
          <w:sz w:val="22"/>
          <w:szCs w:val="22"/>
          <w:lang w:val="nl-BE"/>
        </w:rPr>
        <w:t xml:space="preserve">Huijboom M, Maarse M, Aarnink E, et al. </w:t>
      </w:r>
      <w:r w:rsidRPr="009B0F6E">
        <w:rPr>
          <w:rFonts w:ascii="Calibri" w:hAnsi="Calibri" w:cs="Calibri"/>
          <w:sz w:val="22"/>
          <w:szCs w:val="22"/>
          <w:lang w:val="en-US"/>
        </w:rPr>
        <w:t xml:space="preserve">COMPARE LAAO: rationale and design of the randomized controlled trial “COMPARing Effectiveness and safety of Left Atrial Appendage Occlusion to standard of care for atrial fibrillation patients at high stroke risk and ineligible to use oral anticoagulation therapy”. </w:t>
      </w:r>
      <w:r w:rsidRPr="009B0F6E">
        <w:rPr>
          <w:rFonts w:ascii="Calibri" w:hAnsi="Calibri" w:cs="Calibri"/>
          <w:i/>
          <w:iCs/>
          <w:sz w:val="22"/>
          <w:szCs w:val="22"/>
          <w:lang w:val="en-US"/>
        </w:rPr>
        <w:t>Am Heart J</w:t>
      </w:r>
      <w:r w:rsidRPr="009B0F6E">
        <w:rPr>
          <w:rFonts w:ascii="Calibri" w:hAnsi="Calibri" w:cs="Calibri"/>
          <w:sz w:val="22"/>
          <w:szCs w:val="22"/>
          <w:lang w:val="en-US"/>
        </w:rPr>
        <w:t>. 2022</w:t>
      </w:r>
      <w:proofErr w:type="gramStart"/>
      <w:r w:rsidRPr="009B0F6E">
        <w:rPr>
          <w:rFonts w:ascii="Calibri" w:hAnsi="Calibri" w:cs="Calibri"/>
          <w:sz w:val="22"/>
          <w:szCs w:val="22"/>
          <w:lang w:val="en-US"/>
        </w:rPr>
        <w:t>;250:45</w:t>
      </w:r>
      <w:proofErr w:type="gramEnd"/>
      <w:r w:rsidRPr="009B0F6E">
        <w:rPr>
          <w:rFonts w:ascii="Calibri" w:hAnsi="Calibri" w:cs="Calibri"/>
          <w:sz w:val="22"/>
          <w:szCs w:val="22"/>
          <w:lang w:val="en-US"/>
        </w:rPr>
        <w:t xml:space="preserve">–56. </w:t>
      </w:r>
      <w:hyperlink r:id="rId108"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09" w:history="1">
        <w:r w:rsidRPr="009B0F6E">
          <w:rPr>
            <w:rStyle w:val="Hyperlink"/>
            <w:rFonts w:ascii="Calibri" w:hAnsi="Calibri" w:cs="Calibri"/>
            <w:sz w:val="22"/>
            <w:szCs w:val="22"/>
            <w:lang w:val="en-US"/>
          </w:rPr>
          <w:t>[PubMed]</w:t>
        </w:r>
      </w:hyperlink>
    </w:p>
    <w:p w14:paraId="565A1696" w14:textId="13C068AA"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nl-BE"/>
        </w:rPr>
        <w:t xml:space="preserve">Kar S, Doshi SK, Alkhouli M, et al. </w:t>
      </w:r>
      <w:r w:rsidRPr="009B0F6E">
        <w:rPr>
          <w:rFonts w:ascii="Calibri" w:hAnsi="Calibri" w:cs="Calibri"/>
          <w:sz w:val="22"/>
          <w:szCs w:val="22"/>
          <w:lang w:val="en-US"/>
        </w:rPr>
        <w:t xml:space="preserve">Rationale and design of a randomized study comparing the Watchman FLX device to DOACs in patients with atrial fibrillation. </w:t>
      </w:r>
      <w:r w:rsidRPr="009B0F6E">
        <w:rPr>
          <w:rFonts w:ascii="Calibri" w:hAnsi="Calibri" w:cs="Calibri"/>
          <w:i/>
          <w:iCs/>
          <w:sz w:val="22"/>
          <w:szCs w:val="22"/>
          <w:lang w:val="en-US"/>
        </w:rPr>
        <w:t>Am Heart J</w:t>
      </w:r>
      <w:r w:rsidRPr="009B0F6E">
        <w:rPr>
          <w:rFonts w:ascii="Calibri" w:hAnsi="Calibri" w:cs="Calibri"/>
          <w:sz w:val="22"/>
          <w:szCs w:val="22"/>
          <w:lang w:val="en-US"/>
        </w:rPr>
        <w:t>. 2023</w:t>
      </w:r>
      <w:proofErr w:type="gramStart"/>
      <w:r w:rsidRPr="009B0F6E">
        <w:rPr>
          <w:rFonts w:ascii="Calibri" w:hAnsi="Calibri" w:cs="Calibri"/>
          <w:sz w:val="22"/>
          <w:szCs w:val="22"/>
          <w:lang w:val="en-US"/>
        </w:rPr>
        <w:t>;264:123</w:t>
      </w:r>
      <w:proofErr w:type="gramEnd"/>
      <w:r w:rsidRPr="009B0F6E">
        <w:rPr>
          <w:rFonts w:ascii="Calibri" w:hAnsi="Calibri" w:cs="Calibri"/>
          <w:sz w:val="22"/>
          <w:szCs w:val="22"/>
          <w:lang w:val="en-US"/>
        </w:rPr>
        <w:t xml:space="preserve">–132. </w:t>
      </w:r>
      <w:hyperlink r:id="rId110"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11" w:history="1">
        <w:r w:rsidRPr="009B0F6E">
          <w:rPr>
            <w:rStyle w:val="Hyperlink"/>
            <w:rFonts w:ascii="Calibri" w:hAnsi="Calibri" w:cs="Calibri"/>
            <w:sz w:val="22"/>
            <w:szCs w:val="22"/>
            <w:lang w:val="en-US"/>
          </w:rPr>
          <w:t>[PubMed]</w:t>
        </w:r>
      </w:hyperlink>
    </w:p>
    <w:p w14:paraId="59214FDB" w14:textId="577BEC3E"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nl-BE"/>
        </w:rPr>
        <w:t xml:space="preserve">Schwartz RS, Holmes DR, Van Tassel RA, et al. </w:t>
      </w:r>
      <w:r w:rsidRPr="009B0F6E">
        <w:rPr>
          <w:rFonts w:ascii="Calibri" w:hAnsi="Calibri" w:cs="Calibri"/>
          <w:sz w:val="22"/>
          <w:szCs w:val="22"/>
          <w:lang w:val="en-US"/>
        </w:rPr>
        <w:t xml:space="preserve">Left atrial appendage obliteration: mechanisms of healing and intracardiac integration. </w:t>
      </w:r>
      <w:r w:rsidRPr="009B0F6E">
        <w:rPr>
          <w:rFonts w:ascii="Calibri" w:hAnsi="Calibri" w:cs="Calibri"/>
          <w:i/>
          <w:iCs/>
          <w:sz w:val="22"/>
          <w:szCs w:val="22"/>
          <w:lang w:val="en-US"/>
        </w:rPr>
        <w:t>JACC Cardiovasc Interv</w:t>
      </w:r>
      <w:r w:rsidRPr="009B0F6E">
        <w:rPr>
          <w:rFonts w:ascii="Calibri" w:hAnsi="Calibri" w:cs="Calibri"/>
          <w:sz w:val="22"/>
          <w:szCs w:val="22"/>
          <w:lang w:val="en-US"/>
        </w:rPr>
        <w:t>. 2010</w:t>
      </w:r>
      <w:proofErr w:type="gramStart"/>
      <w:r w:rsidRPr="009B0F6E">
        <w:rPr>
          <w:rFonts w:ascii="Calibri" w:hAnsi="Calibri" w:cs="Calibri"/>
          <w:sz w:val="22"/>
          <w:szCs w:val="22"/>
          <w:lang w:val="en-US"/>
        </w:rPr>
        <w:t>;3</w:t>
      </w:r>
      <w:proofErr w:type="gramEnd"/>
      <w:r w:rsidRPr="009B0F6E">
        <w:rPr>
          <w:rFonts w:ascii="Calibri" w:hAnsi="Calibri" w:cs="Calibri"/>
          <w:sz w:val="22"/>
          <w:szCs w:val="22"/>
          <w:lang w:val="en-US"/>
        </w:rPr>
        <w:t xml:space="preserve">(8):870–877. </w:t>
      </w:r>
      <w:hyperlink r:id="rId112"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13" w:history="1">
        <w:r w:rsidRPr="009B0F6E">
          <w:rPr>
            <w:rStyle w:val="Hyperlink"/>
            <w:rFonts w:ascii="Calibri" w:hAnsi="Calibri" w:cs="Calibri"/>
            <w:sz w:val="22"/>
            <w:szCs w:val="22"/>
            <w:lang w:val="en-US"/>
          </w:rPr>
          <w:t>[PubMed]</w:t>
        </w:r>
      </w:hyperlink>
    </w:p>
    <w:p w14:paraId="6E017CD1" w14:textId="7CF7C21A" w:rsidR="00980B6B" w:rsidRPr="001E0E29" w:rsidRDefault="00980B6B" w:rsidP="00347C06">
      <w:pPr>
        <w:pStyle w:val="Bibliography"/>
        <w:widowControl w:val="0"/>
        <w:numPr>
          <w:ilvl w:val="0"/>
          <w:numId w:val="3"/>
        </w:numPr>
        <w:spacing w:after="0"/>
        <w:ind w:left="360"/>
        <w:rPr>
          <w:rFonts w:ascii="Calibri" w:hAnsi="Calibri" w:cs="Calibri"/>
          <w:sz w:val="22"/>
          <w:szCs w:val="22"/>
          <w:lang w:val="en-IN"/>
        </w:rPr>
      </w:pPr>
      <w:r w:rsidRPr="009B0F6E">
        <w:rPr>
          <w:rFonts w:ascii="Calibri" w:hAnsi="Calibri" w:cs="Calibri"/>
          <w:sz w:val="22"/>
          <w:szCs w:val="22"/>
          <w:lang w:val="nl-BE"/>
        </w:rPr>
        <w:t xml:space="preserve">Andreotti F, Geisler T, Collet JP, et al. </w:t>
      </w:r>
      <w:r w:rsidRPr="009B0F6E">
        <w:rPr>
          <w:rFonts w:ascii="Calibri" w:hAnsi="Calibri" w:cs="Calibri"/>
          <w:sz w:val="22"/>
          <w:szCs w:val="22"/>
          <w:lang w:val="en-US"/>
        </w:rPr>
        <w:t xml:space="preserve">Acute, periprocedural and longterm antithrombotic therapy in older adults: 2022 update by the ESC Working Group on Thrombosis. </w:t>
      </w:r>
      <w:r w:rsidRPr="001E0E29">
        <w:rPr>
          <w:rFonts w:ascii="Calibri" w:hAnsi="Calibri" w:cs="Calibri"/>
          <w:i/>
          <w:iCs/>
          <w:sz w:val="22"/>
          <w:szCs w:val="22"/>
          <w:lang w:val="en-IN"/>
        </w:rPr>
        <w:t>Eur Heart J</w:t>
      </w:r>
      <w:r w:rsidRPr="001E0E29">
        <w:rPr>
          <w:rFonts w:ascii="Calibri" w:hAnsi="Calibri" w:cs="Calibri"/>
          <w:sz w:val="22"/>
          <w:szCs w:val="22"/>
          <w:lang w:val="en-IN"/>
        </w:rPr>
        <w:t>. 2023</w:t>
      </w:r>
      <w:proofErr w:type="gramStart"/>
      <w:r w:rsidRPr="001E0E29">
        <w:rPr>
          <w:rFonts w:ascii="Calibri" w:hAnsi="Calibri" w:cs="Calibri"/>
          <w:sz w:val="22"/>
          <w:szCs w:val="22"/>
          <w:lang w:val="en-IN"/>
        </w:rPr>
        <w:t>;44</w:t>
      </w:r>
      <w:proofErr w:type="gramEnd"/>
      <w:r w:rsidRPr="001E0E29">
        <w:rPr>
          <w:rFonts w:ascii="Calibri" w:hAnsi="Calibri" w:cs="Calibri"/>
          <w:sz w:val="22"/>
          <w:szCs w:val="22"/>
          <w:lang w:val="en-IN"/>
        </w:rPr>
        <w:t xml:space="preserve">(4):262–279. </w:t>
      </w:r>
      <w:hyperlink r:id="rId114" w:history="1">
        <w:r w:rsidRPr="009B0F6E">
          <w:rPr>
            <w:rStyle w:val="Hyperlink"/>
            <w:rFonts w:ascii="Calibri" w:hAnsi="Calibri" w:cs="Calibri"/>
            <w:sz w:val="22"/>
            <w:szCs w:val="22"/>
          </w:rPr>
          <w:t>[CrossRef]</w:t>
        </w:r>
      </w:hyperlink>
      <w:r w:rsidRPr="001E0E29">
        <w:rPr>
          <w:rFonts w:ascii="Calibri" w:hAnsi="Calibri" w:cs="Calibri"/>
          <w:sz w:val="22"/>
          <w:szCs w:val="22"/>
          <w:lang w:val="en-IN"/>
        </w:rPr>
        <w:t xml:space="preserve"> </w:t>
      </w:r>
      <w:hyperlink r:id="rId115" w:history="1">
        <w:r w:rsidRPr="009B0F6E">
          <w:rPr>
            <w:rStyle w:val="Hyperlink"/>
            <w:rFonts w:ascii="Calibri" w:hAnsi="Calibri" w:cs="Calibri"/>
            <w:sz w:val="22"/>
            <w:szCs w:val="22"/>
            <w:lang w:val="en-IN"/>
          </w:rPr>
          <w:t>[PubMed]</w:t>
        </w:r>
      </w:hyperlink>
    </w:p>
    <w:p w14:paraId="4A1E4C38" w14:textId="2DE7B7DE"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nl-BE"/>
        </w:rPr>
        <w:t xml:space="preserve">van Rein N, Heide-Jørgensen U, Lijfering WM, Dekkers OM, Sørensen HT, Cannegieter SC. </w:t>
      </w:r>
      <w:r w:rsidRPr="009B0F6E">
        <w:rPr>
          <w:rFonts w:ascii="Calibri" w:hAnsi="Calibri" w:cs="Calibri"/>
          <w:sz w:val="22"/>
          <w:szCs w:val="22"/>
          <w:lang w:val="en-US"/>
        </w:rPr>
        <w:t xml:space="preserve">Major bleeding rates in atrial fibrillation patients on single, dual, or triple antithrombotic therapy. </w:t>
      </w:r>
      <w:r w:rsidRPr="009B0F6E">
        <w:rPr>
          <w:rFonts w:ascii="Calibri" w:hAnsi="Calibri" w:cs="Calibri"/>
          <w:i/>
          <w:iCs/>
          <w:sz w:val="22"/>
          <w:szCs w:val="22"/>
          <w:lang w:val="en-US"/>
        </w:rPr>
        <w:t>Circulation</w:t>
      </w:r>
      <w:r w:rsidRPr="009B0F6E">
        <w:rPr>
          <w:rFonts w:ascii="Calibri" w:hAnsi="Calibri" w:cs="Calibri"/>
          <w:sz w:val="22"/>
          <w:szCs w:val="22"/>
          <w:lang w:val="en-US"/>
        </w:rPr>
        <w:t>. 2019</w:t>
      </w:r>
      <w:proofErr w:type="gramStart"/>
      <w:r w:rsidRPr="009B0F6E">
        <w:rPr>
          <w:rFonts w:ascii="Calibri" w:hAnsi="Calibri" w:cs="Calibri"/>
          <w:sz w:val="22"/>
          <w:szCs w:val="22"/>
          <w:lang w:val="en-US"/>
        </w:rPr>
        <w:t>;139</w:t>
      </w:r>
      <w:proofErr w:type="gramEnd"/>
      <w:r w:rsidRPr="009B0F6E">
        <w:rPr>
          <w:rFonts w:ascii="Calibri" w:hAnsi="Calibri" w:cs="Calibri"/>
          <w:sz w:val="22"/>
          <w:szCs w:val="22"/>
          <w:lang w:val="en-US"/>
        </w:rPr>
        <w:t xml:space="preserve">(6):775–786. </w:t>
      </w:r>
      <w:hyperlink r:id="rId116"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17" w:history="1">
        <w:r w:rsidRPr="009B0F6E">
          <w:rPr>
            <w:rStyle w:val="Hyperlink"/>
            <w:rFonts w:ascii="Calibri" w:hAnsi="Calibri" w:cs="Calibri"/>
            <w:sz w:val="22"/>
            <w:szCs w:val="22"/>
            <w:lang w:val="en-US"/>
          </w:rPr>
          <w:t>[PubMed]</w:t>
        </w:r>
      </w:hyperlink>
    </w:p>
    <w:p w14:paraId="075EE893" w14:textId="4D31AF18"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1E0E29">
        <w:rPr>
          <w:rFonts w:ascii="Calibri" w:hAnsi="Calibri" w:cs="Calibri"/>
          <w:sz w:val="22"/>
          <w:szCs w:val="22"/>
          <w:lang w:val="nl-BE"/>
        </w:rPr>
        <w:t xml:space="preserve">Carvalho PEP, Gewehr DM, Miyawaki IA, et al. </w:t>
      </w:r>
      <w:r w:rsidRPr="009B0F6E">
        <w:rPr>
          <w:rFonts w:ascii="Calibri" w:hAnsi="Calibri" w:cs="Calibri"/>
          <w:sz w:val="22"/>
          <w:szCs w:val="22"/>
          <w:lang w:val="en-US"/>
        </w:rPr>
        <w:t xml:space="preserve">Network meta-analysis of initial antithrombotic regimens after left atrial appendage occlusion. </w:t>
      </w:r>
      <w:r w:rsidRPr="009B0F6E">
        <w:rPr>
          <w:rFonts w:ascii="Calibri" w:hAnsi="Calibri" w:cs="Calibri"/>
          <w:i/>
          <w:iCs/>
          <w:sz w:val="22"/>
          <w:szCs w:val="22"/>
          <w:lang w:val="en-US"/>
        </w:rPr>
        <w:t>J Am Coll Cardiol</w:t>
      </w:r>
      <w:r w:rsidRPr="009B0F6E">
        <w:rPr>
          <w:rFonts w:ascii="Calibri" w:hAnsi="Calibri" w:cs="Calibri"/>
          <w:sz w:val="22"/>
          <w:szCs w:val="22"/>
          <w:lang w:val="en-US"/>
        </w:rPr>
        <w:t>. 2023</w:t>
      </w:r>
      <w:proofErr w:type="gramStart"/>
      <w:r w:rsidRPr="009B0F6E">
        <w:rPr>
          <w:rFonts w:ascii="Calibri" w:hAnsi="Calibri" w:cs="Calibri"/>
          <w:sz w:val="22"/>
          <w:szCs w:val="22"/>
          <w:lang w:val="en-US"/>
        </w:rPr>
        <w:t>;82</w:t>
      </w:r>
      <w:proofErr w:type="gramEnd"/>
      <w:r w:rsidRPr="009B0F6E">
        <w:rPr>
          <w:rFonts w:ascii="Calibri" w:hAnsi="Calibri" w:cs="Calibri"/>
          <w:sz w:val="22"/>
          <w:szCs w:val="22"/>
          <w:lang w:val="en-US"/>
        </w:rPr>
        <w:t xml:space="preserve">(18):1765–1773. </w:t>
      </w:r>
      <w:hyperlink r:id="rId118"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19" w:history="1">
        <w:r w:rsidRPr="009B0F6E">
          <w:rPr>
            <w:rStyle w:val="Hyperlink"/>
            <w:rFonts w:ascii="Calibri" w:hAnsi="Calibri" w:cs="Calibri"/>
            <w:sz w:val="22"/>
            <w:szCs w:val="22"/>
            <w:lang w:val="en-US"/>
          </w:rPr>
          <w:t>[PubMed]</w:t>
        </w:r>
      </w:hyperlink>
    </w:p>
    <w:p w14:paraId="5F0CF5EA" w14:textId="11BF7F7F"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Hildick-Smith D, Landmesser U, Camm AJ, et al. Left atrial appendage occlusion with the Amplatzer</w:t>
      </w:r>
      <w:r w:rsidR="00623619">
        <w:rPr>
          <w:rFonts w:ascii="Calibri" w:hAnsi="Calibri" w:cs="Calibri"/>
          <w:sz w:val="22"/>
          <w:szCs w:val="22"/>
          <w:vertAlign w:val="superscript"/>
          <w:lang w:val="en-US"/>
        </w:rPr>
        <w:sym w:font="Symbol" w:char="F0D4"/>
      </w:r>
      <w:r w:rsidRPr="009B0F6E">
        <w:rPr>
          <w:rFonts w:ascii="Calibri" w:hAnsi="Calibri" w:cs="Calibri"/>
          <w:sz w:val="22"/>
          <w:szCs w:val="22"/>
          <w:lang w:val="en-US"/>
        </w:rPr>
        <w:t xml:space="preserve"> Amulet</w:t>
      </w:r>
      <w:r w:rsidR="00623619">
        <w:rPr>
          <w:rFonts w:ascii="Calibri" w:hAnsi="Calibri" w:cs="Calibri"/>
          <w:sz w:val="22"/>
          <w:szCs w:val="22"/>
          <w:vertAlign w:val="superscript"/>
          <w:lang w:val="en-US"/>
        </w:rPr>
        <w:sym w:font="Symbol" w:char="F0D4"/>
      </w:r>
      <w:r w:rsidRPr="009B0F6E">
        <w:rPr>
          <w:rFonts w:ascii="Calibri" w:hAnsi="Calibri" w:cs="Calibri"/>
          <w:sz w:val="22"/>
          <w:szCs w:val="22"/>
          <w:lang w:val="en-US"/>
        </w:rPr>
        <w:t xml:space="preserve"> device: full results of the prospective global observational study. </w:t>
      </w:r>
      <w:r w:rsidRPr="009B0F6E">
        <w:rPr>
          <w:rFonts w:ascii="Calibri" w:hAnsi="Calibri" w:cs="Calibri"/>
          <w:i/>
          <w:iCs/>
          <w:sz w:val="22"/>
          <w:szCs w:val="22"/>
          <w:lang w:val="en-US"/>
        </w:rPr>
        <w:t>Eur Heart J</w:t>
      </w:r>
      <w:r w:rsidRPr="009B0F6E">
        <w:rPr>
          <w:rFonts w:ascii="Calibri" w:hAnsi="Calibri" w:cs="Calibri"/>
          <w:sz w:val="22"/>
          <w:szCs w:val="22"/>
          <w:lang w:val="en-US"/>
        </w:rPr>
        <w:t>. 2020</w:t>
      </w:r>
      <w:proofErr w:type="gramStart"/>
      <w:r w:rsidRPr="009B0F6E">
        <w:rPr>
          <w:rFonts w:ascii="Calibri" w:hAnsi="Calibri" w:cs="Calibri"/>
          <w:sz w:val="22"/>
          <w:szCs w:val="22"/>
          <w:lang w:val="en-US"/>
        </w:rPr>
        <w:t>;41</w:t>
      </w:r>
      <w:proofErr w:type="gramEnd"/>
      <w:r w:rsidRPr="009B0F6E">
        <w:rPr>
          <w:rFonts w:ascii="Calibri" w:hAnsi="Calibri" w:cs="Calibri"/>
          <w:sz w:val="22"/>
          <w:szCs w:val="22"/>
          <w:lang w:val="en-US"/>
        </w:rPr>
        <w:t xml:space="preserve">(30):2894–2901. </w:t>
      </w:r>
      <w:hyperlink r:id="rId120"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21" w:history="1">
        <w:r w:rsidRPr="009B0F6E">
          <w:rPr>
            <w:rStyle w:val="Hyperlink"/>
            <w:rFonts w:ascii="Calibri" w:hAnsi="Calibri" w:cs="Calibri"/>
            <w:sz w:val="22"/>
            <w:szCs w:val="22"/>
            <w:lang w:val="en-US"/>
          </w:rPr>
          <w:t>[PubMed]</w:t>
        </w:r>
      </w:hyperlink>
    </w:p>
    <w:p w14:paraId="0F42F9C9" w14:textId="14AE06AE"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1E0E29">
        <w:rPr>
          <w:rFonts w:ascii="Calibri" w:hAnsi="Calibri" w:cs="Calibri"/>
          <w:sz w:val="22"/>
          <w:szCs w:val="22"/>
          <w:lang w:val="nl-BE"/>
        </w:rPr>
        <w:t xml:space="preserve">Søndergaard L, Wong YH, Reddy VY, et al. </w:t>
      </w:r>
      <w:r w:rsidRPr="009B0F6E">
        <w:rPr>
          <w:rFonts w:ascii="Calibri" w:hAnsi="Calibri" w:cs="Calibri"/>
          <w:sz w:val="22"/>
          <w:szCs w:val="22"/>
          <w:lang w:val="en-US"/>
        </w:rPr>
        <w:t xml:space="preserve">Propensity-matched comparison of oral anticoagulation versus antiplatelet therapy after left atrial appendage closure with WATCHMAN. </w:t>
      </w:r>
      <w:r w:rsidRPr="009B0F6E">
        <w:rPr>
          <w:rFonts w:ascii="Calibri" w:hAnsi="Calibri" w:cs="Calibri"/>
          <w:i/>
          <w:iCs/>
          <w:sz w:val="22"/>
          <w:szCs w:val="22"/>
          <w:lang w:val="en-US"/>
        </w:rPr>
        <w:t>JACC Cardiovasc Interv</w:t>
      </w:r>
      <w:r w:rsidRPr="009B0F6E">
        <w:rPr>
          <w:rFonts w:ascii="Calibri" w:hAnsi="Calibri" w:cs="Calibri"/>
          <w:sz w:val="22"/>
          <w:szCs w:val="22"/>
          <w:lang w:val="en-US"/>
        </w:rPr>
        <w:t>. 2019</w:t>
      </w:r>
      <w:proofErr w:type="gramStart"/>
      <w:r w:rsidRPr="009B0F6E">
        <w:rPr>
          <w:rFonts w:ascii="Calibri" w:hAnsi="Calibri" w:cs="Calibri"/>
          <w:sz w:val="22"/>
          <w:szCs w:val="22"/>
          <w:lang w:val="en-US"/>
        </w:rPr>
        <w:t>;12</w:t>
      </w:r>
      <w:proofErr w:type="gramEnd"/>
      <w:r w:rsidRPr="009B0F6E">
        <w:rPr>
          <w:rFonts w:ascii="Calibri" w:hAnsi="Calibri" w:cs="Calibri"/>
          <w:sz w:val="22"/>
          <w:szCs w:val="22"/>
          <w:lang w:val="en-US"/>
        </w:rPr>
        <w:t xml:space="preserve">(11):1055–1063. </w:t>
      </w:r>
      <w:hyperlink r:id="rId122"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23" w:history="1">
        <w:r w:rsidRPr="009B0F6E">
          <w:rPr>
            <w:rStyle w:val="Hyperlink"/>
            <w:rFonts w:ascii="Calibri" w:hAnsi="Calibri" w:cs="Calibri"/>
            <w:sz w:val="22"/>
            <w:szCs w:val="22"/>
            <w:lang w:val="en-US"/>
          </w:rPr>
          <w:t>[PubMed]</w:t>
        </w:r>
      </w:hyperlink>
    </w:p>
    <w:p w14:paraId="17755D74" w14:textId="7EC525EF"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Della Rocca DG, Magnocavallo M, Di Biase L, et al. Half-dose direct oral anticoagulation versus standard antithrombotic therapy after left atrial appendage occlusion. </w:t>
      </w:r>
      <w:r w:rsidRPr="009B0F6E">
        <w:rPr>
          <w:rFonts w:ascii="Calibri" w:hAnsi="Calibri" w:cs="Calibri"/>
          <w:i/>
          <w:iCs/>
          <w:sz w:val="22"/>
          <w:szCs w:val="22"/>
          <w:lang w:val="en-US"/>
        </w:rPr>
        <w:t>JACC Cardiovasc Interv</w:t>
      </w:r>
      <w:r w:rsidRPr="009B0F6E">
        <w:rPr>
          <w:rFonts w:ascii="Calibri" w:hAnsi="Calibri" w:cs="Calibri"/>
          <w:sz w:val="22"/>
          <w:szCs w:val="22"/>
          <w:lang w:val="en-US"/>
        </w:rPr>
        <w:t>. 2021</w:t>
      </w:r>
      <w:proofErr w:type="gramStart"/>
      <w:r w:rsidRPr="009B0F6E">
        <w:rPr>
          <w:rFonts w:ascii="Calibri" w:hAnsi="Calibri" w:cs="Calibri"/>
          <w:sz w:val="22"/>
          <w:szCs w:val="22"/>
          <w:lang w:val="en-US"/>
        </w:rPr>
        <w:t>;14</w:t>
      </w:r>
      <w:proofErr w:type="gramEnd"/>
      <w:r w:rsidRPr="009B0F6E">
        <w:rPr>
          <w:rFonts w:ascii="Calibri" w:hAnsi="Calibri" w:cs="Calibri"/>
          <w:sz w:val="22"/>
          <w:szCs w:val="22"/>
          <w:lang w:val="en-US"/>
        </w:rPr>
        <w:t xml:space="preserve">(21):2353–2364. </w:t>
      </w:r>
      <w:hyperlink r:id="rId124"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25" w:history="1">
        <w:r w:rsidRPr="009B0F6E">
          <w:rPr>
            <w:rStyle w:val="Hyperlink"/>
            <w:rFonts w:ascii="Calibri" w:hAnsi="Calibri" w:cs="Calibri"/>
            <w:sz w:val="22"/>
            <w:szCs w:val="22"/>
            <w:lang w:val="en-US"/>
          </w:rPr>
          <w:t>[PubMed]</w:t>
        </w:r>
      </w:hyperlink>
    </w:p>
    <w:p w14:paraId="0C8EDEEB" w14:textId="49B9C8DF"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nl-BE"/>
        </w:rPr>
        <w:t xml:space="preserve">Cho MS, Yun JE, Park JJ, et al. </w:t>
      </w:r>
      <w:r w:rsidRPr="009B0F6E">
        <w:rPr>
          <w:rFonts w:ascii="Calibri" w:hAnsi="Calibri" w:cs="Calibri"/>
          <w:sz w:val="22"/>
          <w:szCs w:val="22"/>
          <w:lang w:val="en-US"/>
        </w:rPr>
        <w:t>Outcomes after use of standard- and low-dose non</w:t>
      </w:r>
      <w:r w:rsidR="001E0E29">
        <w:rPr>
          <w:rFonts w:ascii="Calibri" w:hAnsi="Calibri" w:cs="Calibri"/>
          <w:sz w:val="22"/>
          <w:szCs w:val="22"/>
          <w:lang w:val="en-US"/>
        </w:rPr>
        <w:t>-</w:t>
      </w:r>
      <w:r w:rsidRPr="009B0F6E">
        <w:rPr>
          <w:rFonts w:ascii="Calibri" w:hAnsi="Calibri" w:cs="Calibri"/>
          <w:sz w:val="22"/>
          <w:szCs w:val="22"/>
          <w:lang w:val="en-US"/>
        </w:rPr>
        <w:t xml:space="preserve">vitamin K oral anticoagulants in Asian patients with atrial fibrillation. </w:t>
      </w:r>
      <w:r w:rsidRPr="009B0F6E">
        <w:rPr>
          <w:rFonts w:ascii="Calibri" w:hAnsi="Calibri" w:cs="Calibri"/>
          <w:i/>
          <w:iCs/>
          <w:sz w:val="22"/>
          <w:szCs w:val="22"/>
          <w:lang w:val="en-US"/>
        </w:rPr>
        <w:t>Stroke</w:t>
      </w:r>
      <w:r w:rsidRPr="009B0F6E">
        <w:rPr>
          <w:rFonts w:ascii="Calibri" w:hAnsi="Calibri" w:cs="Calibri"/>
          <w:sz w:val="22"/>
          <w:szCs w:val="22"/>
          <w:lang w:val="en-US"/>
        </w:rPr>
        <w:t>. 2019</w:t>
      </w:r>
      <w:proofErr w:type="gramStart"/>
      <w:r w:rsidRPr="009B0F6E">
        <w:rPr>
          <w:rFonts w:ascii="Calibri" w:hAnsi="Calibri" w:cs="Calibri"/>
          <w:sz w:val="22"/>
          <w:szCs w:val="22"/>
          <w:lang w:val="en-US"/>
        </w:rPr>
        <w:t>;50</w:t>
      </w:r>
      <w:proofErr w:type="gramEnd"/>
      <w:r w:rsidRPr="009B0F6E">
        <w:rPr>
          <w:rFonts w:ascii="Calibri" w:hAnsi="Calibri" w:cs="Calibri"/>
          <w:sz w:val="22"/>
          <w:szCs w:val="22"/>
          <w:lang w:val="en-US"/>
        </w:rPr>
        <w:t xml:space="preserve">(1):110–118. </w:t>
      </w:r>
      <w:hyperlink r:id="rId126"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27" w:history="1">
        <w:r w:rsidRPr="009B0F6E">
          <w:rPr>
            <w:rStyle w:val="Hyperlink"/>
            <w:rFonts w:ascii="Calibri" w:hAnsi="Calibri" w:cs="Calibri"/>
            <w:sz w:val="22"/>
            <w:szCs w:val="22"/>
            <w:lang w:val="en-US"/>
          </w:rPr>
          <w:t>[PubMed]</w:t>
        </w:r>
      </w:hyperlink>
    </w:p>
    <w:p w14:paraId="600AA48D" w14:textId="7B18AD5F"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Camm AJ, Cools F, Virdone S, et al. Mortality in patients with atrial fibrillation receiving nonrecommended doses of direct oral anticoagulants. </w:t>
      </w:r>
      <w:r w:rsidRPr="009B0F6E">
        <w:rPr>
          <w:rFonts w:ascii="Calibri" w:hAnsi="Calibri" w:cs="Calibri"/>
          <w:i/>
          <w:iCs/>
          <w:sz w:val="22"/>
          <w:szCs w:val="22"/>
          <w:lang w:val="en-US"/>
        </w:rPr>
        <w:t>J Am Coll Cardiol</w:t>
      </w:r>
      <w:r w:rsidRPr="009B0F6E">
        <w:rPr>
          <w:rFonts w:ascii="Calibri" w:hAnsi="Calibri" w:cs="Calibri"/>
          <w:sz w:val="22"/>
          <w:szCs w:val="22"/>
          <w:lang w:val="en-US"/>
        </w:rPr>
        <w:t>. 2020</w:t>
      </w:r>
      <w:proofErr w:type="gramStart"/>
      <w:r w:rsidRPr="009B0F6E">
        <w:rPr>
          <w:rFonts w:ascii="Calibri" w:hAnsi="Calibri" w:cs="Calibri"/>
          <w:sz w:val="22"/>
          <w:szCs w:val="22"/>
          <w:lang w:val="en-US"/>
        </w:rPr>
        <w:t>;76</w:t>
      </w:r>
      <w:proofErr w:type="gramEnd"/>
      <w:r w:rsidRPr="009B0F6E">
        <w:rPr>
          <w:rFonts w:ascii="Calibri" w:hAnsi="Calibri" w:cs="Calibri"/>
          <w:sz w:val="22"/>
          <w:szCs w:val="22"/>
          <w:lang w:val="en-US"/>
        </w:rPr>
        <w:t xml:space="preserve">(12):1425–1436. [OI:10.1016/j.jacc.2020.07.045 </w:t>
      </w:r>
      <w:hyperlink r:id="rId128" w:history="1">
        <w:r w:rsidRPr="009B0F6E">
          <w:rPr>
            <w:rStyle w:val="Hyperlink"/>
            <w:rFonts w:ascii="Calibri" w:hAnsi="Calibri" w:cs="Calibri"/>
            <w:sz w:val="22"/>
            <w:szCs w:val="22"/>
            <w:lang w:val="en-US"/>
          </w:rPr>
          <w:t>[PubMed]</w:t>
        </w:r>
      </w:hyperlink>
    </w:p>
    <w:p w14:paraId="1357A47F" w14:textId="37762A2D"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Rodés-Cabau J, O’Hara G, Paradis JM, et al. Changes in coagulation and platelet activation markers following transcatheter left atrial appendage closure. </w:t>
      </w:r>
      <w:r w:rsidRPr="009B0F6E">
        <w:rPr>
          <w:rFonts w:ascii="Calibri" w:hAnsi="Calibri" w:cs="Calibri"/>
          <w:i/>
          <w:iCs/>
          <w:sz w:val="22"/>
          <w:szCs w:val="22"/>
          <w:lang w:val="en-US"/>
        </w:rPr>
        <w:t>Am J Cardiol</w:t>
      </w:r>
      <w:r w:rsidRPr="009B0F6E">
        <w:rPr>
          <w:rFonts w:ascii="Calibri" w:hAnsi="Calibri" w:cs="Calibri"/>
          <w:sz w:val="22"/>
          <w:szCs w:val="22"/>
          <w:lang w:val="en-US"/>
        </w:rPr>
        <w:t>. 2017</w:t>
      </w:r>
      <w:proofErr w:type="gramStart"/>
      <w:r w:rsidRPr="009B0F6E">
        <w:rPr>
          <w:rFonts w:ascii="Calibri" w:hAnsi="Calibri" w:cs="Calibri"/>
          <w:sz w:val="22"/>
          <w:szCs w:val="22"/>
          <w:lang w:val="en-US"/>
        </w:rPr>
        <w:t>;120</w:t>
      </w:r>
      <w:proofErr w:type="gramEnd"/>
      <w:r w:rsidRPr="009B0F6E">
        <w:rPr>
          <w:rFonts w:ascii="Calibri" w:hAnsi="Calibri" w:cs="Calibri"/>
          <w:sz w:val="22"/>
          <w:szCs w:val="22"/>
          <w:lang w:val="en-US"/>
        </w:rPr>
        <w:t xml:space="preserve">(1):87–91. </w:t>
      </w:r>
      <w:hyperlink r:id="rId129"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30" w:history="1">
        <w:r w:rsidRPr="009B0F6E">
          <w:rPr>
            <w:rStyle w:val="Hyperlink"/>
            <w:rFonts w:ascii="Calibri" w:hAnsi="Calibri" w:cs="Calibri"/>
            <w:sz w:val="22"/>
            <w:szCs w:val="22"/>
            <w:lang w:val="en-US"/>
          </w:rPr>
          <w:t>[PubMed]</w:t>
        </w:r>
      </w:hyperlink>
    </w:p>
    <w:p w14:paraId="244E4580" w14:textId="7FD2756B"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Asmarats L, Masson JB, Pagnotta PA, et al. Percutaneous left atrial appendage closure with the ultraseal device: insights from the initial multicenter experience. </w:t>
      </w:r>
      <w:r w:rsidRPr="009B0F6E">
        <w:rPr>
          <w:rFonts w:ascii="Calibri" w:hAnsi="Calibri" w:cs="Calibri"/>
          <w:i/>
          <w:iCs/>
          <w:sz w:val="22"/>
          <w:szCs w:val="22"/>
          <w:lang w:val="en-US"/>
        </w:rPr>
        <w:t>JACC Cardiovasc Interv</w:t>
      </w:r>
      <w:r w:rsidRPr="009B0F6E">
        <w:rPr>
          <w:rFonts w:ascii="Calibri" w:hAnsi="Calibri" w:cs="Calibri"/>
          <w:sz w:val="22"/>
          <w:szCs w:val="22"/>
          <w:lang w:val="en-US"/>
        </w:rPr>
        <w:t>. 2018</w:t>
      </w:r>
      <w:proofErr w:type="gramStart"/>
      <w:r w:rsidRPr="009B0F6E">
        <w:rPr>
          <w:rFonts w:ascii="Calibri" w:hAnsi="Calibri" w:cs="Calibri"/>
          <w:sz w:val="22"/>
          <w:szCs w:val="22"/>
          <w:lang w:val="en-US"/>
        </w:rPr>
        <w:t>;11</w:t>
      </w:r>
      <w:proofErr w:type="gramEnd"/>
      <w:r w:rsidRPr="009B0F6E">
        <w:rPr>
          <w:rFonts w:ascii="Calibri" w:hAnsi="Calibri" w:cs="Calibri"/>
          <w:sz w:val="22"/>
          <w:szCs w:val="22"/>
          <w:lang w:val="en-US"/>
        </w:rPr>
        <w:t xml:space="preserve">(19):1932–1941. </w:t>
      </w:r>
      <w:hyperlink r:id="rId131"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32" w:history="1">
        <w:r w:rsidRPr="009B0F6E">
          <w:rPr>
            <w:rStyle w:val="Hyperlink"/>
            <w:rFonts w:ascii="Calibri" w:hAnsi="Calibri" w:cs="Calibri"/>
            <w:sz w:val="22"/>
            <w:szCs w:val="22"/>
            <w:lang w:val="en-US"/>
          </w:rPr>
          <w:t>[PubMed]</w:t>
        </w:r>
      </w:hyperlink>
    </w:p>
    <w:p w14:paraId="69CCFD2A" w14:textId="4C72DE46"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Duthoit G, Silvain J, Marijon E, et al. </w:t>
      </w:r>
      <w:proofErr w:type="gramStart"/>
      <w:r w:rsidRPr="009B0F6E">
        <w:rPr>
          <w:rFonts w:ascii="Calibri" w:hAnsi="Calibri" w:cs="Calibri"/>
          <w:sz w:val="22"/>
          <w:szCs w:val="22"/>
          <w:lang w:val="en-US"/>
        </w:rPr>
        <w:t>Reduced</w:t>
      </w:r>
      <w:proofErr w:type="gramEnd"/>
      <w:r w:rsidRPr="009B0F6E">
        <w:rPr>
          <w:rFonts w:ascii="Calibri" w:hAnsi="Calibri" w:cs="Calibri"/>
          <w:sz w:val="22"/>
          <w:szCs w:val="22"/>
          <w:lang w:val="en-US"/>
        </w:rPr>
        <w:t xml:space="preserve"> rivaroxaban dose versus dual antiplatelet therapy after left atrial appendage closure: ADRIFT a randomized pilot study. </w:t>
      </w:r>
      <w:r w:rsidRPr="009B0F6E">
        <w:rPr>
          <w:rFonts w:ascii="Calibri" w:hAnsi="Calibri" w:cs="Calibri"/>
          <w:i/>
          <w:iCs/>
          <w:sz w:val="22"/>
          <w:szCs w:val="22"/>
          <w:lang w:val="en-US"/>
        </w:rPr>
        <w:t>Circ Cardiovasc Interv</w:t>
      </w:r>
      <w:r w:rsidRPr="009B0F6E">
        <w:rPr>
          <w:rFonts w:ascii="Calibri" w:hAnsi="Calibri" w:cs="Calibri"/>
          <w:sz w:val="22"/>
          <w:szCs w:val="22"/>
          <w:lang w:val="en-US"/>
        </w:rPr>
        <w:t>. 2020</w:t>
      </w:r>
      <w:proofErr w:type="gramStart"/>
      <w:r w:rsidRPr="009B0F6E">
        <w:rPr>
          <w:rFonts w:ascii="Calibri" w:hAnsi="Calibri" w:cs="Calibri"/>
          <w:sz w:val="22"/>
          <w:szCs w:val="22"/>
          <w:lang w:val="en-US"/>
        </w:rPr>
        <w:t>;13</w:t>
      </w:r>
      <w:proofErr w:type="gramEnd"/>
      <w:r w:rsidRPr="009B0F6E">
        <w:rPr>
          <w:rFonts w:ascii="Calibri" w:hAnsi="Calibri" w:cs="Calibri"/>
          <w:sz w:val="22"/>
          <w:szCs w:val="22"/>
          <w:lang w:val="en-US"/>
        </w:rPr>
        <w:t xml:space="preserve">(7):e008481. </w:t>
      </w:r>
      <w:hyperlink r:id="rId133"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34" w:history="1">
        <w:r w:rsidRPr="009B0F6E">
          <w:rPr>
            <w:rStyle w:val="Hyperlink"/>
            <w:rFonts w:ascii="Calibri" w:hAnsi="Calibri" w:cs="Calibri"/>
            <w:sz w:val="22"/>
            <w:szCs w:val="22"/>
            <w:lang w:val="en-US"/>
          </w:rPr>
          <w:t>[PubMed]</w:t>
        </w:r>
      </w:hyperlink>
    </w:p>
    <w:p w14:paraId="781920E7" w14:textId="5E3889AF"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Freixa X, Cruz-González I, Cepas-Guillén P, et al. Low-dose direct oral anticoagulation vs dual antiplatelet therapy after left atrial appendage occlusion: the ADALA randomized clinical trial. </w:t>
      </w:r>
      <w:r w:rsidRPr="009B0F6E">
        <w:rPr>
          <w:rFonts w:ascii="Calibri" w:hAnsi="Calibri" w:cs="Calibri"/>
          <w:i/>
          <w:iCs/>
          <w:sz w:val="22"/>
          <w:szCs w:val="22"/>
          <w:lang w:val="en-US"/>
        </w:rPr>
        <w:t>JAMA Cardiol</w:t>
      </w:r>
      <w:r w:rsidRPr="009B0F6E">
        <w:rPr>
          <w:rFonts w:ascii="Calibri" w:hAnsi="Calibri" w:cs="Calibri"/>
          <w:sz w:val="22"/>
          <w:szCs w:val="22"/>
          <w:lang w:val="en-US"/>
        </w:rPr>
        <w:t>. 2024</w:t>
      </w:r>
      <w:proofErr w:type="gramStart"/>
      <w:r w:rsidRPr="009B0F6E">
        <w:rPr>
          <w:rFonts w:ascii="Calibri" w:hAnsi="Calibri" w:cs="Calibri"/>
          <w:sz w:val="22"/>
          <w:szCs w:val="22"/>
          <w:lang w:val="en-US"/>
        </w:rPr>
        <w:t>;9</w:t>
      </w:r>
      <w:proofErr w:type="gramEnd"/>
      <w:r w:rsidRPr="009B0F6E">
        <w:rPr>
          <w:rFonts w:ascii="Calibri" w:hAnsi="Calibri" w:cs="Calibri"/>
          <w:sz w:val="22"/>
          <w:szCs w:val="22"/>
          <w:lang w:val="en-US"/>
        </w:rPr>
        <w:t xml:space="preserve">(10):922–926. </w:t>
      </w:r>
      <w:hyperlink r:id="rId135"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36" w:history="1">
        <w:r w:rsidRPr="009B0F6E">
          <w:rPr>
            <w:rStyle w:val="Hyperlink"/>
            <w:rFonts w:ascii="Calibri" w:hAnsi="Calibri" w:cs="Calibri"/>
            <w:sz w:val="22"/>
            <w:szCs w:val="22"/>
            <w:lang w:val="en-US"/>
          </w:rPr>
          <w:t>[PubMed]</w:t>
        </w:r>
      </w:hyperlink>
    </w:p>
    <w:p w14:paraId="7710264A" w14:textId="552C5392"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Rodés-Cabau J, Nombela-Franco L, Cruz-Gonzalez I, </w:t>
      </w:r>
      <w:proofErr w:type="gramStart"/>
      <w:r w:rsidRPr="009B0F6E">
        <w:rPr>
          <w:rFonts w:ascii="Calibri" w:hAnsi="Calibri" w:cs="Calibri"/>
          <w:sz w:val="22"/>
          <w:szCs w:val="22"/>
          <w:lang w:val="en-US"/>
        </w:rPr>
        <w:t>et</w:t>
      </w:r>
      <w:proofErr w:type="gramEnd"/>
      <w:r w:rsidRPr="009B0F6E">
        <w:rPr>
          <w:rFonts w:ascii="Calibri" w:hAnsi="Calibri" w:cs="Calibri"/>
          <w:sz w:val="22"/>
          <w:szCs w:val="22"/>
          <w:lang w:val="en-US"/>
        </w:rPr>
        <w:t xml:space="preserve"> al. Short-term anticoagulation versus dual antiplatelet therapy for preventing device thrombosis following left atrial appendage closure: the ANDES randomized clinical trial. </w:t>
      </w:r>
      <w:r w:rsidRPr="009B0F6E">
        <w:rPr>
          <w:rFonts w:ascii="Calibri" w:hAnsi="Calibri" w:cs="Calibri"/>
          <w:i/>
          <w:iCs/>
          <w:sz w:val="22"/>
          <w:szCs w:val="22"/>
          <w:lang w:val="en-US"/>
        </w:rPr>
        <w:t>Circulation</w:t>
      </w:r>
      <w:r w:rsidRPr="009B0F6E">
        <w:rPr>
          <w:rFonts w:ascii="Calibri" w:hAnsi="Calibri" w:cs="Calibri"/>
          <w:sz w:val="22"/>
          <w:szCs w:val="22"/>
          <w:lang w:val="en-US"/>
        </w:rPr>
        <w:t>. 2025</w:t>
      </w:r>
      <w:proofErr w:type="gramStart"/>
      <w:r w:rsidRPr="009B0F6E">
        <w:rPr>
          <w:rFonts w:ascii="Calibri" w:hAnsi="Calibri" w:cs="Calibri"/>
          <w:sz w:val="22"/>
          <w:szCs w:val="22"/>
          <w:lang w:val="en-US"/>
        </w:rPr>
        <w:t>;152</w:t>
      </w:r>
      <w:proofErr w:type="gramEnd"/>
      <w:r w:rsidRPr="009B0F6E">
        <w:rPr>
          <w:rFonts w:ascii="Calibri" w:hAnsi="Calibri" w:cs="Calibri"/>
          <w:sz w:val="22"/>
          <w:szCs w:val="22"/>
          <w:lang w:val="en-US"/>
        </w:rPr>
        <w:t xml:space="preserve">(25):1759–1768. </w:t>
      </w:r>
      <w:hyperlink r:id="rId137"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38" w:history="1">
        <w:r w:rsidRPr="009B0F6E">
          <w:rPr>
            <w:rStyle w:val="Hyperlink"/>
            <w:rFonts w:ascii="Calibri" w:hAnsi="Calibri" w:cs="Calibri"/>
            <w:sz w:val="22"/>
            <w:szCs w:val="22"/>
            <w:lang w:val="en-US"/>
          </w:rPr>
          <w:t>[PubMed]</w:t>
        </w:r>
      </w:hyperlink>
    </w:p>
    <w:p w14:paraId="481E8CEE" w14:textId="286F98A2"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Darmon A, Couture EL, Stein G, et al. Left atrial appendage closure in patients with atrial fibrillation at very high bleeding risk without postimplantation antithrombotic therapy. </w:t>
      </w:r>
      <w:r w:rsidRPr="009B0F6E">
        <w:rPr>
          <w:rFonts w:ascii="Calibri" w:hAnsi="Calibri" w:cs="Calibri"/>
          <w:i/>
          <w:iCs/>
          <w:sz w:val="22"/>
          <w:szCs w:val="22"/>
          <w:lang w:val="en-US"/>
        </w:rPr>
        <w:t>J Invasive Cardiol</w:t>
      </w:r>
      <w:r w:rsidRPr="009B0F6E">
        <w:rPr>
          <w:rFonts w:ascii="Calibri" w:hAnsi="Calibri" w:cs="Calibri"/>
          <w:sz w:val="22"/>
          <w:szCs w:val="22"/>
          <w:lang w:val="en-US"/>
        </w:rPr>
        <w:t>. 2020</w:t>
      </w:r>
      <w:proofErr w:type="gramStart"/>
      <w:r w:rsidRPr="009B0F6E">
        <w:rPr>
          <w:rFonts w:ascii="Calibri" w:hAnsi="Calibri" w:cs="Calibri"/>
          <w:sz w:val="22"/>
          <w:szCs w:val="22"/>
          <w:lang w:val="en-US"/>
        </w:rPr>
        <w:t>;32</w:t>
      </w:r>
      <w:proofErr w:type="gramEnd"/>
      <w:r w:rsidRPr="009B0F6E">
        <w:rPr>
          <w:rFonts w:ascii="Calibri" w:hAnsi="Calibri" w:cs="Calibri"/>
          <w:sz w:val="22"/>
          <w:szCs w:val="22"/>
          <w:lang w:val="en-US"/>
        </w:rPr>
        <w:t xml:space="preserve">(10):385–391. </w:t>
      </w:r>
      <w:hyperlink r:id="rId139" w:history="1">
        <w:r w:rsidRPr="009B0F6E">
          <w:rPr>
            <w:rStyle w:val="Hyperlink"/>
            <w:rFonts w:ascii="Calibri" w:hAnsi="Calibri" w:cs="Calibri"/>
            <w:sz w:val="22"/>
            <w:szCs w:val="22"/>
            <w:lang w:val="en-US"/>
          </w:rPr>
          <w:t>[CrossRef]</w:t>
        </w:r>
      </w:hyperlink>
      <w:r w:rsidRPr="009B0F6E">
        <w:rPr>
          <w:rFonts w:ascii="Calibri" w:hAnsi="Calibri" w:cs="Calibri"/>
          <w:sz w:val="22"/>
          <w:szCs w:val="22"/>
          <w:lang w:val="en-US"/>
        </w:rPr>
        <w:t xml:space="preserve"> </w:t>
      </w:r>
      <w:hyperlink r:id="rId140" w:history="1">
        <w:r w:rsidRPr="009B0F6E">
          <w:rPr>
            <w:rStyle w:val="Hyperlink"/>
            <w:rFonts w:ascii="Calibri" w:hAnsi="Calibri" w:cs="Calibri"/>
            <w:sz w:val="22"/>
            <w:szCs w:val="22"/>
            <w:lang w:val="en-US"/>
          </w:rPr>
          <w:t>[PubMed]</w:t>
        </w:r>
      </w:hyperlink>
    </w:p>
    <w:p w14:paraId="5711537C" w14:textId="04E133FC"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nl-BE"/>
        </w:rPr>
        <w:t xml:space="preserve">Korsholm K, Nielsen KM, Jensen JM, Jensen HK, Andersen G, Nielsen-Kudsk JE. </w:t>
      </w:r>
      <w:r w:rsidRPr="009B0F6E">
        <w:rPr>
          <w:rFonts w:ascii="Calibri" w:hAnsi="Calibri" w:cs="Calibri"/>
          <w:sz w:val="22"/>
          <w:szCs w:val="22"/>
          <w:lang w:val="en-US"/>
        </w:rPr>
        <w:t xml:space="preserve">Transcatheter left atrial appendage occlusion in patients with atrial fibrillation and a high bleeding risk using aspirin alone for post-implant antithrombotic therapy. </w:t>
      </w:r>
      <w:r w:rsidRPr="009B0F6E">
        <w:rPr>
          <w:rFonts w:ascii="Calibri" w:hAnsi="Calibri" w:cs="Calibri"/>
          <w:i/>
          <w:iCs/>
          <w:sz w:val="22"/>
          <w:szCs w:val="22"/>
          <w:lang w:val="en-US"/>
        </w:rPr>
        <w:t>EuroIntervention</w:t>
      </w:r>
      <w:r w:rsidRPr="009B0F6E">
        <w:rPr>
          <w:rFonts w:ascii="Calibri" w:hAnsi="Calibri" w:cs="Calibri"/>
          <w:sz w:val="22"/>
          <w:szCs w:val="22"/>
          <w:lang w:val="en-US"/>
        </w:rPr>
        <w:t>. 2017</w:t>
      </w:r>
      <w:proofErr w:type="gramStart"/>
      <w:r w:rsidRPr="009B0F6E">
        <w:rPr>
          <w:rFonts w:ascii="Calibri" w:hAnsi="Calibri" w:cs="Calibri"/>
          <w:sz w:val="22"/>
          <w:szCs w:val="22"/>
          <w:lang w:val="en-US"/>
        </w:rPr>
        <w:t>;12</w:t>
      </w:r>
      <w:proofErr w:type="gramEnd"/>
      <w:r w:rsidRPr="009B0F6E">
        <w:rPr>
          <w:rFonts w:ascii="Calibri" w:hAnsi="Calibri" w:cs="Calibri"/>
          <w:sz w:val="22"/>
          <w:szCs w:val="22"/>
          <w:lang w:val="en-US"/>
        </w:rPr>
        <w:t xml:space="preserve">(17):2075–2082. </w:t>
      </w:r>
      <w:hyperlink r:id="rId141"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42" w:history="1">
        <w:r w:rsidRPr="009B0F6E">
          <w:rPr>
            <w:rStyle w:val="Hyperlink"/>
            <w:rFonts w:ascii="Calibri" w:hAnsi="Calibri" w:cs="Calibri"/>
            <w:sz w:val="22"/>
            <w:szCs w:val="22"/>
            <w:lang w:val="en-US"/>
          </w:rPr>
          <w:t>[PubMed]</w:t>
        </w:r>
      </w:hyperlink>
    </w:p>
    <w:p w14:paraId="4EBCB1C2" w14:textId="0500FB00"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Fauchier L, Cinaud A, Brigadeau F, et al. Device-related thrombosis after percutaneous left atrial appendage occlusion for atrial fibrillation. </w:t>
      </w:r>
      <w:r w:rsidRPr="009B0F6E">
        <w:rPr>
          <w:rFonts w:ascii="Calibri" w:hAnsi="Calibri" w:cs="Calibri"/>
          <w:i/>
          <w:iCs/>
          <w:sz w:val="22"/>
          <w:szCs w:val="22"/>
          <w:lang w:val="en-US"/>
        </w:rPr>
        <w:t>J Am Coll Cardiol</w:t>
      </w:r>
      <w:r w:rsidRPr="009B0F6E">
        <w:rPr>
          <w:rFonts w:ascii="Calibri" w:hAnsi="Calibri" w:cs="Calibri"/>
          <w:sz w:val="22"/>
          <w:szCs w:val="22"/>
          <w:lang w:val="en-US"/>
        </w:rPr>
        <w:t>. 2018</w:t>
      </w:r>
      <w:proofErr w:type="gramStart"/>
      <w:r w:rsidRPr="009B0F6E">
        <w:rPr>
          <w:rFonts w:ascii="Calibri" w:hAnsi="Calibri" w:cs="Calibri"/>
          <w:sz w:val="22"/>
          <w:szCs w:val="22"/>
          <w:lang w:val="en-US"/>
        </w:rPr>
        <w:t>;71</w:t>
      </w:r>
      <w:proofErr w:type="gramEnd"/>
      <w:r w:rsidRPr="009B0F6E">
        <w:rPr>
          <w:rFonts w:ascii="Calibri" w:hAnsi="Calibri" w:cs="Calibri"/>
          <w:sz w:val="22"/>
          <w:szCs w:val="22"/>
          <w:lang w:val="en-US"/>
        </w:rPr>
        <w:t xml:space="preserve">(14):1528–1536. </w:t>
      </w:r>
      <w:hyperlink r:id="rId143"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44" w:history="1">
        <w:r w:rsidRPr="009B0F6E">
          <w:rPr>
            <w:rStyle w:val="Hyperlink"/>
            <w:rFonts w:ascii="Calibri" w:hAnsi="Calibri" w:cs="Calibri"/>
            <w:sz w:val="22"/>
            <w:szCs w:val="22"/>
            <w:lang w:val="en-US"/>
          </w:rPr>
          <w:t>[PubMed]</w:t>
        </w:r>
      </w:hyperlink>
    </w:p>
    <w:p w14:paraId="37FC4707" w14:textId="6A3C43FE"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nl-BE"/>
        </w:rPr>
        <w:t xml:space="preserve">Tanaka S, Imamura T, Fukuda N, et al. </w:t>
      </w:r>
      <w:r w:rsidRPr="009B0F6E">
        <w:rPr>
          <w:rFonts w:ascii="Calibri" w:hAnsi="Calibri" w:cs="Calibri"/>
          <w:sz w:val="22"/>
          <w:szCs w:val="22"/>
          <w:lang w:val="en-US"/>
        </w:rPr>
        <w:t xml:space="preserve">Outcomes of left atrial appendage closure in hemodialysis patients with atrial fibrillation: the OCEAN-LAAC registry. </w:t>
      </w:r>
      <w:r w:rsidRPr="009B0F6E">
        <w:rPr>
          <w:rFonts w:ascii="Calibri" w:hAnsi="Calibri" w:cs="Calibri"/>
          <w:i/>
          <w:iCs/>
          <w:sz w:val="22"/>
          <w:szCs w:val="22"/>
          <w:lang w:val="en-US"/>
        </w:rPr>
        <w:t>JACC Asia</w:t>
      </w:r>
      <w:r w:rsidRPr="009B0F6E">
        <w:rPr>
          <w:rFonts w:ascii="Calibri" w:hAnsi="Calibri" w:cs="Calibri"/>
          <w:sz w:val="22"/>
          <w:szCs w:val="22"/>
          <w:lang w:val="en-US"/>
        </w:rPr>
        <w:t>. 2025</w:t>
      </w:r>
      <w:proofErr w:type="gramStart"/>
      <w:r w:rsidRPr="009B0F6E">
        <w:rPr>
          <w:rFonts w:ascii="Calibri" w:hAnsi="Calibri" w:cs="Calibri"/>
          <w:sz w:val="22"/>
          <w:szCs w:val="22"/>
          <w:lang w:val="en-US"/>
        </w:rPr>
        <w:t>;5</w:t>
      </w:r>
      <w:proofErr w:type="gramEnd"/>
      <w:r w:rsidRPr="009B0F6E">
        <w:rPr>
          <w:rFonts w:ascii="Calibri" w:hAnsi="Calibri" w:cs="Calibri"/>
          <w:sz w:val="22"/>
          <w:szCs w:val="22"/>
          <w:lang w:val="en-US"/>
        </w:rPr>
        <w:t xml:space="preserve">(1):174–186. </w:t>
      </w:r>
      <w:hyperlink r:id="rId145"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46" w:history="1">
        <w:r w:rsidRPr="009B0F6E">
          <w:rPr>
            <w:rStyle w:val="Hyperlink"/>
            <w:rFonts w:ascii="Calibri" w:hAnsi="Calibri" w:cs="Calibri"/>
            <w:sz w:val="22"/>
            <w:szCs w:val="22"/>
            <w:lang w:val="en-US"/>
          </w:rPr>
          <w:t>[PubMed]</w:t>
        </w:r>
      </w:hyperlink>
    </w:p>
    <w:p w14:paraId="643DB26E" w14:textId="6FAA94CD"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nl-BE"/>
        </w:rPr>
        <w:t xml:space="preserve">Reinecke H, Engelbertz C, Bauersachs R, et al. </w:t>
      </w:r>
      <w:r w:rsidRPr="009B0F6E">
        <w:rPr>
          <w:rFonts w:ascii="Calibri" w:hAnsi="Calibri" w:cs="Calibri"/>
          <w:sz w:val="22"/>
          <w:szCs w:val="22"/>
          <w:lang w:val="en-US"/>
        </w:rPr>
        <w:t xml:space="preserve">A randomized controlled trial comparing apixaban with the vitamin K antagonist phenprocoumon in patients on chronic hemodialysis: the AXADIA-AFNET 8 study. </w:t>
      </w:r>
      <w:r w:rsidRPr="009B0F6E">
        <w:rPr>
          <w:rFonts w:ascii="Calibri" w:hAnsi="Calibri" w:cs="Calibri"/>
          <w:i/>
          <w:iCs/>
          <w:sz w:val="22"/>
          <w:szCs w:val="22"/>
          <w:lang w:val="en-US"/>
        </w:rPr>
        <w:t>Circulation</w:t>
      </w:r>
      <w:r w:rsidRPr="009B0F6E">
        <w:rPr>
          <w:rFonts w:ascii="Calibri" w:hAnsi="Calibri" w:cs="Calibri"/>
          <w:sz w:val="22"/>
          <w:szCs w:val="22"/>
          <w:lang w:val="en-US"/>
        </w:rPr>
        <w:t>. 2023</w:t>
      </w:r>
      <w:proofErr w:type="gramStart"/>
      <w:r w:rsidRPr="009B0F6E">
        <w:rPr>
          <w:rFonts w:ascii="Calibri" w:hAnsi="Calibri" w:cs="Calibri"/>
          <w:sz w:val="22"/>
          <w:szCs w:val="22"/>
          <w:lang w:val="en-US"/>
        </w:rPr>
        <w:t>;147</w:t>
      </w:r>
      <w:proofErr w:type="gramEnd"/>
      <w:r w:rsidRPr="009B0F6E">
        <w:rPr>
          <w:rFonts w:ascii="Calibri" w:hAnsi="Calibri" w:cs="Calibri"/>
          <w:sz w:val="22"/>
          <w:szCs w:val="22"/>
          <w:lang w:val="en-US"/>
        </w:rPr>
        <w:t xml:space="preserve">(4):296–309. </w:t>
      </w:r>
      <w:hyperlink r:id="rId147"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48" w:history="1">
        <w:r w:rsidRPr="009B0F6E">
          <w:rPr>
            <w:rStyle w:val="Hyperlink"/>
            <w:rFonts w:ascii="Calibri" w:hAnsi="Calibri" w:cs="Calibri"/>
            <w:sz w:val="22"/>
            <w:szCs w:val="22"/>
            <w:lang w:val="en-US"/>
          </w:rPr>
          <w:t>[PubMed]</w:t>
        </w:r>
      </w:hyperlink>
    </w:p>
    <w:p w14:paraId="2DF30C77" w14:textId="1FB69BAD"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1E0E29">
        <w:rPr>
          <w:rFonts w:ascii="Calibri" w:hAnsi="Calibri" w:cs="Calibri"/>
          <w:sz w:val="22"/>
          <w:szCs w:val="22"/>
          <w:lang w:val="nl-BE"/>
        </w:rPr>
        <w:t xml:space="preserve">Pokorney SD, Chertow GM, Al-Khalidi HR, et al. </w:t>
      </w:r>
      <w:r w:rsidRPr="009B0F6E">
        <w:rPr>
          <w:rFonts w:ascii="Calibri" w:hAnsi="Calibri" w:cs="Calibri"/>
          <w:sz w:val="22"/>
          <w:szCs w:val="22"/>
          <w:lang w:val="en-US"/>
        </w:rPr>
        <w:t xml:space="preserve">Apixaban for patients with atrial fibrillation on hemodialysis: a multicenter randomized controlled trial. </w:t>
      </w:r>
      <w:r w:rsidRPr="009B0F6E">
        <w:rPr>
          <w:rFonts w:ascii="Calibri" w:hAnsi="Calibri" w:cs="Calibri"/>
          <w:i/>
          <w:iCs/>
          <w:sz w:val="22"/>
          <w:szCs w:val="22"/>
          <w:lang w:val="en-US"/>
        </w:rPr>
        <w:t>Circulation</w:t>
      </w:r>
      <w:r w:rsidRPr="009B0F6E">
        <w:rPr>
          <w:rFonts w:ascii="Calibri" w:hAnsi="Calibri" w:cs="Calibri"/>
          <w:sz w:val="22"/>
          <w:szCs w:val="22"/>
          <w:lang w:val="en-US"/>
        </w:rPr>
        <w:t>. 2022</w:t>
      </w:r>
      <w:proofErr w:type="gramStart"/>
      <w:r w:rsidRPr="009B0F6E">
        <w:rPr>
          <w:rFonts w:ascii="Calibri" w:hAnsi="Calibri" w:cs="Calibri"/>
          <w:sz w:val="22"/>
          <w:szCs w:val="22"/>
          <w:lang w:val="en-US"/>
        </w:rPr>
        <w:t>;146</w:t>
      </w:r>
      <w:proofErr w:type="gramEnd"/>
      <w:r w:rsidRPr="009B0F6E">
        <w:rPr>
          <w:rFonts w:ascii="Calibri" w:hAnsi="Calibri" w:cs="Calibri"/>
          <w:sz w:val="22"/>
          <w:szCs w:val="22"/>
          <w:lang w:val="en-US"/>
        </w:rPr>
        <w:t xml:space="preserve">(23):1735–1745. </w:t>
      </w:r>
      <w:hyperlink r:id="rId149"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50" w:history="1">
        <w:r w:rsidRPr="009B0F6E">
          <w:rPr>
            <w:rStyle w:val="Hyperlink"/>
            <w:rFonts w:ascii="Calibri" w:hAnsi="Calibri" w:cs="Calibri"/>
            <w:sz w:val="22"/>
            <w:szCs w:val="22"/>
            <w:lang w:val="en-US"/>
          </w:rPr>
          <w:t>[PubMed]</w:t>
        </w:r>
      </w:hyperlink>
    </w:p>
    <w:p w14:paraId="6031F749" w14:textId="40E0B7E6"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De Vriese AS, Caluwé R, Van Der Meersch H, De Boeck K, De Bacquer D. Safety and efficacy of vitamin K antagonists versus rivaroxaban in hemodialysis patients with atrial fibrillation: a multicenter randomized controlled trial. </w:t>
      </w:r>
      <w:r w:rsidRPr="009B0F6E">
        <w:rPr>
          <w:rFonts w:ascii="Calibri" w:hAnsi="Calibri" w:cs="Calibri"/>
          <w:i/>
          <w:iCs/>
          <w:sz w:val="22"/>
          <w:szCs w:val="22"/>
          <w:lang w:val="en-US"/>
        </w:rPr>
        <w:t>J Am Soc Nephrol</w:t>
      </w:r>
      <w:r w:rsidRPr="009B0F6E">
        <w:rPr>
          <w:rFonts w:ascii="Calibri" w:hAnsi="Calibri" w:cs="Calibri"/>
          <w:sz w:val="22"/>
          <w:szCs w:val="22"/>
          <w:lang w:val="en-US"/>
        </w:rPr>
        <w:t>. 2021</w:t>
      </w:r>
      <w:proofErr w:type="gramStart"/>
      <w:r w:rsidRPr="009B0F6E">
        <w:rPr>
          <w:rFonts w:ascii="Calibri" w:hAnsi="Calibri" w:cs="Calibri"/>
          <w:sz w:val="22"/>
          <w:szCs w:val="22"/>
          <w:lang w:val="en-US"/>
        </w:rPr>
        <w:t>;32</w:t>
      </w:r>
      <w:proofErr w:type="gramEnd"/>
      <w:r w:rsidRPr="009B0F6E">
        <w:rPr>
          <w:rFonts w:ascii="Calibri" w:hAnsi="Calibri" w:cs="Calibri"/>
          <w:sz w:val="22"/>
          <w:szCs w:val="22"/>
          <w:lang w:val="en-US"/>
        </w:rPr>
        <w:t xml:space="preserve">(6):1474–1483. </w:t>
      </w:r>
      <w:hyperlink r:id="rId151"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52" w:history="1">
        <w:r w:rsidRPr="009B0F6E">
          <w:rPr>
            <w:rStyle w:val="Hyperlink"/>
            <w:rFonts w:ascii="Calibri" w:hAnsi="Calibri" w:cs="Calibri"/>
            <w:sz w:val="22"/>
            <w:szCs w:val="22"/>
            <w:lang w:val="en-US"/>
          </w:rPr>
          <w:t>[PubMed]</w:t>
        </w:r>
      </w:hyperlink>
    </w:p>
    <w:p w14:paraId="77E8A55A" w14:textId="07FBD70A"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1E0E29">
        <w:rPr>
          <w:rFonts w:ascii="Calibri" w:hAnsi="Calibri" w:cs="Calibri"/>
          <w:sz w:val="22"/>
          <w:szCs w:val="22"/>
          <w:lang w:val="nl-BE"/>
        </w:rPr>
        <w:t xml:space="preserve">Turakhia MP, Blankestijn PJ, Carrero JJ, et al. </w:t>
      </w:r>
      <w:r w:rsidRPr="009B0F6E">
        <w:rPr>
          <w:rFonts w:ascii="Calibri" w:hAnsi="Calibri" w:cs="Calibri"/>
          <w:sz w:val="22"/>
          <w:szCs w:val="22"/>
          <w:lang w:val="en-US"/>
        </w:rPr>
        <w:t xml:space="preserve">Chronic kidney disease and arrhythmias: conclusions from a Kidney Disease: Improving Global Outcomes (KDIGO) Controversies Conference. </w:t>
      </w:r>
      <w:r w:rsidRPr="009B0F6E">
        <w:rPr>
          <w:rFonts w:ascii="Calibri" w:hAnsi="Calibri" w:cs="Calibri"/>
          <w:i/>
          <w:iCs/>
          <w:sz w:val="22"/>
          <w:szCs w:val="22"/>
          <w:lang w:val="en-US"/>
        </w:rPr>
        <w:t>Eur Heart J</w:t>
      </w:r>
      <w:r w:rsidRPr="009B0F6E">
        <w:rPr>
          <w:rFonts w:ascii="Calibri" w:hAnsi="Calibri" w:cs="Calibri"/>
          <w:sz w:val="22"/>
          <w:szCs w:val="22"/>
          <w:lang w:val="en-US"/>
        </w:rPr>
        <w:t>. 2018</w:t>
      </w:r>
      <w:proofErr w:type="gramStart"/>
      <w:r w:rsidRPr="009B0F6E">
        <w:rPr>
          <w:rFonts w:ascii="Calibri" w:hAnsi="Calibri" w:cs="Calibri"/>
          <w:sz w:val="22"/>
          <w:szCs w:val="22"/>
          <w:lang w:val="en-US"/>
        </w:rPr>
        <w:t>;39</w:t>
      </w:r>
      <w:proofErr w:type="gramEnd"/>
      <w:r w:rsidRPr="009B0F6E">
        <w:rPr>
          <w:rFonts w:ascii="Calibri" w:hAnsi="Calibri" w:cs="Calibri"/>
          <w:sz w:val="22"/>
          <w:szCs w:val="22"/>
          <w:lang w:val="en-US"/>
        </w:rPr>
        <w:t xml:space="preserve">(24):2314–2325. </w:t>
      </w:r>
      <w:hyperlink r:id="rId153"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54" w:history="1">
        <w:r w:rsidRPr="009B0F6E">
          <w:rPr>
            <w:rStyle w:val="Hyperlink"/>
            <w:rFonts w:ascii="Calibri" w:hAnsi="Calibri" w:cs="Calibri"/>
            <w:sz w:val="22"/>
            <w:szCs w:val="22"/>
            <w:lang w:val="en-US"/>
          </w:rPr>
          <w:t>[PubMed]</w:t>
        </w:r>
      </w:hyperlink>
    </w:p>
    <w:p w14:paraId="60F0CD7F" w14:textId="756F8E89"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Alkhouli M, Busu T, Shah K, Osman M, Alqahtani F, Raybuck B. Incidence and clinical impact of device-related thrombus following percutaneous left atrial appendage occlusion: a meta-analysis. </w:t>
      </w:r>
      <w:r w:rsidRPr="009B0F6E">
        <w:rPr>
          <w:rFonts w:ascii="Calibri" w:hAnsi="Calibri" w:cs="Calibri"/>
          <w:i/>
          <w:iCs/>
          <w:sz w:val="22"/>
          <w:szCs w:val="22"/>
          <w:lang w:val="en-US"/>
        </w:rPr>
        <w:t>JACC Clin Electrophysiol</w:t>
      </w:r>
      <w:r w:rsidRPr="009B0F6E">
        <w:rPr>
          <w:rFonts w:ascii="Calibri" w:hAnsi="Calibri" w:cs="Calibri"/>
          <w:sz w:val="22"/>
          <w:szCs w:val="22"/>
          <w:lang w:val="en-US"/>
        </w:rPr>
        <w:t>. 2018</w:t>
      </w:r>
      <w:proofErr w:type="gramStart"/>
      <w:r w:rsidRPr="009B0F6E">
        <w:rPr>
          <w:rFonts w:ascii="Calibri" w:hAnsi="Calibri" w:cs="Calibri"/>
          <w:sz w:val="22"/>
          <w:szCs w:val="22"/>
          <w:lang w:val="en-US"/>
        </w:rPr>
        <w:t>;4</w:t>
      </w:r>
      <w:proofErr w:type="gramEnd"/>
      <w:r w:rsidRPr="009B0F6E">
        <w:rPr>
          <w:rFonts w:ascii="Calibri" w:hAnsi="Calibri" w:cs="Calibri"/>
          <w:sz w:val="22"/>
          <w:szCs w:val="22"/>
          <w:lang w:val="en-US"/>
        </w:rPr>
        <w:t xml:space="preserve">(12):1629–1637. </w:t>
      </w:r>
      <w:hyperlink r:id="rId155"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56" w:history="1">
        <w:r w:rsidRPr="009B0F6E">
          <w:rPr>
            <w:rStyle w:val="Hyperlink"/>
            <w:rFonts w:ascii="Calibri" w:hAnsi="Calibri" w:cs="Calibri"/>
            <w:sz w:val="22"/>
            <w:szCs w:val="22"/>
            <w:lang w:val="en-US"/>
          </w:rPr>
          <w:t>[PubMed]</w:t>
        </w:r>
      </w:hyperlink>
    </w:p>
    <w:p w14:paraId="11085CDA" w14:textId="3DC853E5"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Saw J, Tzikas A, Shakir S, et al. Incidence and clinical impact of device-associated thrombus and peri-device leak following left atrial appendage closure with the Amplatzer Cardiac Plug. </w:t>
      </w:r>
      <w:r w:rsidRPr="009B0F6E">
        <w:rPr>
          <w:rFonts w:ascii="Calibri" w:hAnsi="Calibri" w:cs="Calibri"/>
          <w:i/>
          <w:iCs/>
          <w:sz w:val="22"/>
          <w:szCs w:val="22"/>
          <w:lang w:val="en-US"/>
        </w:rPr>
        <w:t>JACC Cardiovasc Interv</w:t>
      </w:r>
      <w:r w:rsidRPr="009B0F6E">
        <w:rPr>
          <w:rFonts w:ascii="Calibri" w:hAnsi="Calibri" w:cs="Calibri"/>
          <w:sz w:val="22"/>
          <w:szCs w:val="22"/>
          <w:lang w:val="en-US"/>
        </w:rPr>
        <w:t>. 2017</w:t>
      </w:r>
      <w:proofErr w:type="gramStart"/>
      <w:r w:rsidRPr="009B0F6E">
        <w:rPr>
          <w:rFonts w:ascii="Calibri" w:hAnsi="Calibri" w:cs="Calibri"/>
          <w:sz w:val="22"/>
          <w:szCs w:val="22"/>
          <w:lang w:val="en-US"/>
        </w:rPr>
        <w:t>;10</w:t>
      </w:r>
      <w:proofErr w:type="gramEnd"/>
      <w:r w:rsidRPr="009B0F6E">
        <w:rPr>
          <w:rFonts w:ascii="Calibri" w:hAnsi="Calibri" w:cs="Calibri"/>
          <w:sz w:val="22"/>
          <w:szCs w:val="22"/>
          <w:lang w:val="en-US"/>
        </w:rPr>
        <w:t xml:space="preserve">(4):391–399. </w:t>
      </w:r>
      <w:hyperlink r:id="rId157"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58" w:history="1">
        <w:r w:rsidRPr="009B0F6E">
          <w:rPr>
            <w:rStyle w:val="Hyperlink"/>
            <w:rFonts w:ascii="Calibri" w:hAnsi="Calibri" w:cs="Calibri"/>
            <w:sz w:val="22"/>
            <w:szCs w:val="22"/>
            <w:lang w:val="en-US"/>
          </w:rPr>
          <w:t>[PubMed]</w:t>
        </w:r>
      </w:hyperlink>
    </w:p>
    <w:p w14:paraId="08DED743" w14:textId="43416E0B"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Sedaghat A, Schrickel JW, Andrié R, Schueler R, Nickenig G, Hammerstingl C. Thrombus formation after left atrial appendage occlusion with the Amplatzer Amulet device. </w:t>
      </w:r>
      <w:r w:rsidRPr="009B0F6E">
        <w:rPr>
          <w:rFonts w:ascii="Calibri" w:hAnsi="Calibri" w:cs="Calibri"/>
          <w:i/>
          <w:iCs/>
          <w:sz w:val="22"/>
          <w:szCs w:val="22"/>
          <w:lang w:val="en-US"/>
        </w:rPr>
        <w:t>JACC Clin Electrophysiol</w:t>
      </w:r>
      <w:r w:rsidRPr="009B0F6E">
        <w:rPr>
          <w:rFonts w:ascii="Calibri" w:hAnsi="Calibri" w:cs="Calibri"/>
          <w:sz w:val="22"/>
          <w:szCs w:val="22"/>
          <w:lang w:val="en-US"/>
        </w:rPr>
        <w:t>. 2017</w:t>
      </w:r>
      <w:proofErr w:type="gramStart"/>
      <w:r w:rsidRPr="009B0F6E">
        <w:rPr>
          <w:rFonts w:ascii="Calibri" w:hAnsi="Calibri" w:cs="Calibri"/>
          <w:sz w:val="22"/>
          <w:szCs w:val="22"/>
          <w:lang w:val="en-US"/>
        </w:rPr>
        <w:t>;3</w:t>
      </w:r>
      <w:proofErr w:type="gramEnd"/>
      <w:r w:rsidRPr="009B0F6E">
        <w:rPr>
          <w:rFonts w:ascii="Calibri" w:hAnsi="Calibri" w:cs="Calibri"/>
          <w:sz w:val="22"/>
          <w:szCs w:val="22"/>
          <w:lang w:val="en-US"/>
        </w:rPr>
        <w:t xml:space="preserve">(1):71–75. </w:t>
      </w:r>
      <w:hyperlink r:id="rId159"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60" w:history="1">
        <w:r w:rsidRPr="009B0F6E">
          <w:rPr>
            <w:rStyle w:val="Hyperlink"/>
            <w:rFonts w:ascii="Calibri" w:hAnsi="Calibri" w:cs="Calibri"/>
            <w:sz w:val="22"/>
            <w:szCs w:val="22"/>
            <w:lang w:val="en-US"/>
          </w:rPr>
          <w:t>[PubMed]</w:t>
        </w:r>
      </w:hyperlink>
    </w:p>
    <w:p w14:paraId="67F4E46D" w14:textId="0CF892D9"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nl-BE"/>
        </w:rPr>
        <w:t xml:space="preserve">Plicht B, Konorza TFM, Kahlert P, et al. </w:t>
      </w:r>
      <w:r w:rsidRPr="009B0F6E">
        <w:rPr>
          <w:rFonts w:ascii="Calibri" w:hAnsi="Calibri" w:cs="Calibri"/>
          <w:sz w:val="22"/>
          <w:szCs w:val="22"/>
          <w:lang w:val="en-US"/>
        </w:rPr>
        <w:t xml:space="preserve">Risk factors for thrombus formation on the Amplatzer Cardiac Plug after left atrial appendage occlusion. </w:t>
      </w:r>
      <w:r w:rsidRPr="009B0F6E">
        <w:rPr>
          <w:rFonts w:ascii="Calibri" w:hAnsi="Calibri" w:cs="Calibri"/>
          <w:i/>
          <w:iCs/>
          <w:sz w:val="22"/>
          <w:szCs w:val="22"/>
          <w:lang w:val="en-US"/>
        </w:rPr>
        <w:t>JACC Cardiovasc Interv</w:t>
      </w:r>
      <w:r w:rsidRPr="009B0F6E">
        <w:rPr>
          <w:rFonts w:ascii="Calibri" w:hAnsi="Calibri" w:cs="Calibri"/>
          <w:sz w:val="22"/>
          <w:szCs w:val="22"/>
          <w:lang w:val="en-US"/>
        </w:rPr>
        <w:t>. 2013</w:t>
      </w:r>
      <w:proofErr w:type="gramStart"/>
      <w:r w:rsidRPr="009B0F6E">
        <w:rPr>
          <w:rFonts w:ascii="Calibri" w:hAnsi="Calibri" w:cs="Calibri"/>
          <w:sz w:val="22"/>
          <w:szCs w:val="22"/>
          <w:lang w:val="en-US"/>
        </w:rPr>
        <w:t>;6</w:t>
      </w:r>
      <w:proofErr w:type="gramEnd"/>
      <w:r w:rsidRPr="009B0F6E">
        <w:rPr>
          <w:rFonts w:ascii="Calibri" w:hAnsi="Calibri" w:cs="Calibri"/>
          <w:sz w:val="22"/>
          <w:szCs w:val="22"/>
          <w:lang w:val="en-US"/>
        </w:rPr>
        <w:t xml:space="preserve">(6):606–613. </w:t>
      </w:r>
      <w:hyperlink r:id="rId161"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62" w:history="1">
        <w:r w:rsidRPr="009B0F6E">
          <w:rPr>
            <w:rStyle w:val="Hyperlink"/>
            <w:rFonts w:ascii="Calibri" w:hAnsi="Calibri" w:cs="Calibri"/>
            <w:sz w:val="22"/>
            <w:szCs w:val="22"/>
            <w:lang w:val="en-US"/>
          </w:rPr>
          <w:t>[PubMed]</w:t>
        </w:r>
      </w:hyperlink>
    </w:p>
    <w:p w14:paraId="56B63306" w14:textId="11A1C459" w:rsidR="00980B6B" w:rsidRPr="001E0E29" w:rsidRDefault="00980B6B" w:rsidP="00347C06">
      <w:pPr>
        <w:pStyle w:val="Bibliography"/>
        <w:widowControl w:val="0"/>
        <w:numPr>
          <w:ilvl w:val="0"/>
          <w:numId w:val="3"/>
        </w:numPr>
        <w:spacing w:after="0"/>
        <w:ind w:left="360"/>
        <w:rPr>
          <w:rFonts w:ascii="Calibri" w:hAnsi="Calibri" w:cs="Calibri"/>
          <w:sz w:val="22"/>
          <w:szCs w:val="22"/>
          <w:lang w:val="en-IN"/>
        </w:rPr>
      </w:pPr>
      <w:r w:rsidRPr="009B0F6E">
        <w:rPr>
          <w:rFonts w:ascii="Calibri" w:hAnsi="Calibri" w:cs="Calibri"/>
          <w:sz w:val="22"/>
          <w:szCs w:val="22"/>
          <w:lang w:val="nl-BE"/>
        </w:rPr>
        <w:t xml:space="preserve">Stankowski K, Volpi B, Balata F, et al. </w:t>
      </w:r>
      <w:r w:rsidRPr="009B0F6E">
        <w:rPr>
          <w:rFonts w:ascii="Calibri" w:hAnsi="Calibri" w:cs="Calibri"/>
          <w:sz w:val="22"/>
          <w:szCs w:val="22"/>
          <w:lang w:val="en-US"/>
        </w:rPr>
        <w:t xml:space="preserve">Multimodality imaging assessment of the left atrial appendage for percutaneous closure. </w:t>
      </w:r>
      <w:r w:rsidRPr="001E0E29">
        <w:rPr>
          <w:rFonts w:ascii="Calibri" w:hAnsi="Calibri" w:cs="Calibri"/>
          <w:i/>
          <w:iCs/>
          <w:sz w:val="22"/>
          <w:szCs w:val="22"/>
          <w:lang w:val="en-IN"/>
        </w:rPr>
        <w:t>Prog Cardiovasc Dis</w:t>
      </w:r>
      <w:r w:rsidRPr="001E0E29">
        <w:rPr>
          <w:rFonts w:ascii="Calibri" w:hAnsi="Calibri" w:cs="Calibri"/>
          <w:sz w:val="22"/>
          <w:szCs w:val="22"/>
          <w:lang w:val="en-IN"/>
        </w:rPr>
        <w:t>. 2025</w:t>
      </w:r>
      <w:proofErr w:type="gramStart"/>
      <w:r w:rsidRPr="001E0E29">
        <w:rPr>
          <w:rFonts w:ascii="Calibri" w:hAnsi="Calibri" w:cs="Calibri"/>
          <w:sz w:val="22"/>
          <w:szCs w:val="22"/>
          <w:lang w:val="en-IN"/>
        </w:rPr>
        <w:t>;92:80</w:t>
      </w:r>
      <w:proofErr w:type="gramEnd"/>
      <w:r w:rsidRPr="001E0E29">
        <w:rPr>
          <w:rFonts w:ascii="Calibri" w:hAnsi="Calibri" w:cs="Calibri"/>
          <w:sz w:val="22"/>
          <w:szCs w:val="22"/>
          <w:lang w:val="en-IN"/>
        </w:rPr>
        <w:t xml:space="preserve">–96. </w:t>
      </w:r>
      <w:hyperlink r:id="rId163" w:history="1">
        <w:r w:rsidRPr="009B0F6E">
          <w:rPr>
            <w:rStyle w:val="Hyperlink"/>
            <w:rFonts w:ascii="Calibri" w:hAnsi="Calibri" w:cs="Calibri"/>
            <w:sz w:val="22"/>
            <w:szCs w:val="22"/>
          </w:rPr>
          <w:t>[CrossRef]</w:t>
        </w:r>
      </w:hyperlink>
      <w:r w:rsidRPr="001E0E29">
        <w:rPr>
          <w:rFonts w:ascii="Calibri" w:hAnsi="Calibri" w:cs="Calibri"/>
          <w:sz w:val="22"/>
          <w:szCs w:val="22"/>
          <w:lang w:val="en-IN"/>
        </w:rPr>
        <w:t xml:space="preserve"> </w:t>
      </w:r>
      <w:hyperlink r:id="rId164" w:history="1">
        <w:r w:rsidRPr="009B0F6E">
          <w:rPr>
            <w:rStyle w:val="Hyperlink"/>
            <w:rFonts w:ascii="Calibri" w:hAnsi="Calibri" w:cs="Calibri"/>
            <w:sz w:val="22"/>
            <w:szCs w:val="22"/>
            <w:lang w:val="en-IN"/>
          </w:rPr>
          <w:t>[PubMed]</w:t>
        </w:r>
      </w:hyperlink>
    </w:p>
    <w:p w14:paraId="26D04F1D" w14:textId="07E01EDA"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1E0E29">
        <w:rPr>
          <w:rFonts w:ascii="Calibri" w:hAnsi="Calibri" w:cs="Calibri"/>
          <w:sz w:val="22"/>
          <w:szCs w:val="22"/>
          <w:lang w:val="nl-BE"/>
        </w:rPr>
        <w:t xml:space="preserve">Saw J, Nielsen-Kudsk JE, Bergmann M, et al. </w:t>
      </w:r>
      <w:r w:rsidRPr="009B0F6E">
        <w:rPr>
          <w:rFonts w:ascii="Calibri" w:hAnsi="Calibri" w:cs="Calibri"/>
          <w:sz w:val="22"/>
          <w:szCs w:val="22"/>
          <w:lang w:val="en-US"/>
        </w:rPr>
        <w:t xml:space="preserve">Antithrombotic therapy and device-related thrombosis following endovascular left atrial appendage closure. </w:t>
      </w:r>
      <w:r w:rsidRPr="009B0F6E">
        <w:rPr>
          <w:rFonts w:ascii="Calibri" w:hAnsi="Calibri" w:cs="Calibri"/>
          <w:i/>
          <w:iCs/>
          <w:sz w:val="22"/>
          <w:szCs w:val="22"/>
          <w:lang w:val="en-US"/>
        </w:rPr>
        <w:t>JACC Cardiovasc Interv</w:t>
      </w:r>
      <w:r w:rsidRPr="009B0F6E">
        <w:rPr>
          <w:rFonts w:ascii="Calibri" w:hAnsi="Calibri" w:cs="Calibri"/>
          <w:sz w:val="22"/>
          <w:szCs w:val="22"/>
          <w:lang w:val="en-US"/>
        </w:rPr>
        <w:t>. 2019</w:t>
      </w:r>
      <w:proofErr w:type="gramStart"/>
      <w:r w:rsidRPr="009B0F6E">
        <w:rPr>
          <w:rFonts w:ascii="Calibri" w:hAnsi="Calibri" w:cs="Calibri"/>
          <w:sz w:val="22"/>
          <w:szCs w:val="22"/>
          <w:lang w:val="en-US"/>
        </w:rPr>
        <w:t>;12</w:t>
      </w:r>
      <w:proofErr w:type="gramEnd"/>
      <w:r w:rsidRPr="009B0F6E">
        <w:rPr>
          <w:rFonts w:ascii="Calibri" w:hAnsi="Calibri" w:cs="Calibri"/>
          <w:sz w:val="22"/>
          <w:szCs w:val="22"/>
          <w:lang w:val="en-US"/>
        </w:rPr>
        <w:t xml:space="preserve">(11):1067–1076. </w:t>
      </w:r>
      <w:hyperlink r:id="rId165"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66" w:history="1">
        <w:r w:rsidRPr="009B0F6E">
          <w:rPr>
            <w:rStyle w:val="Hyperlink"/>
            <w:rFonts w:ascii="Calibri" w:hAnsi="Calibri" w:cs="Calibri"/>
            <w:sz w:val="22"/>
            <w:szCs w:val="22"/>
            <w:lang w:val="en-US"/>
          </w:rPr>
          <w:t>[PubMed]</w:t>
        </w:r>
      </w:hyperlink>
    </w:p>
    <w:p w14:paraId="2077CE86" w14:textId="6EBDE618"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Viles-Gonzalez JF, Kar S, Douglas P, et al. The clinical impact of incomplete left atrial appendage closure with the Watchman device in patients with atrial fibrillation: a PROTECT AF (Percutaneous Closure of the Left Atrial Appendage Versus Warfarin Therapy for Prevention of Stroke in Patients </w:t>
      </w:r>
      <w:proofErr w:type="gramStart"/>
      <w:r w:rsidRPr="009B0F6E">
        <w:rPr>
          <w:rFonts w:ascii="Calibri" w:hAnsi="Calibri" w:cs="Calibri"/>
          <w:sz w:val="22"/>
          <w:szCs w:val="22"/>
          <w:lang w:val="en-US"/>
        </w:rPr>
        <w:t>With</w:t>
      </w:r>
      <w:proofErr w:type="gramEnd"/>
      <w:r w:rsidRPr="009B0F6E">
        <w:rPr>
          <w:rFonts w:ascii="Calibri" w:hAnsi="Calibri" w:cs="Calibri"/>
          <w:sz w:val="22"/>
          <w:szCs w:val="22"/>
          <w:lang w:val="en-US"/>
        </w:rPr>
        <w:t xml:space="preserve"> Atrial Fibrillation) substudy. </w:t>
      </w:r>
      <w:r w:rsidRPr="009B0F6E">
        <w:rPr>
          <w:rFonts w:ascii="Calibri" w:hAnsi="Calibri" w:cs="Calibri"/>
          <w:i/>
          <w:iCs/>
          <w:sz w:val="22"/>
          <w:szCs w:val="22"/>
          <w:lang w:val="en-US"/>
        </w:rPr>
        <w:t>J Am Coll Cardiol</w:t>
      </w:r>
      <w:r w:rsidRPr="009B0F6E">
        <w:rPr>
          <w:rFonts w:ascii="Calibri" w:hAnsi="Calibri" w:cs="Calibri"/>
          <w:sz w:val="22"/>
          <w:szCs w:val="22"/>
          <w:lang w:val="en-US"/>
        </w:rPr>
        <w:t>. 2012</w:t>
      </w:r>
      <w:proofErr w:type="gramStart"/>
      <w:r w:rsidRPr="009B0F6E">
        <w:rPr>
          <w:rFonts w:ascii="Calibri" w:hAnsi="Calibri" w:cs="Calibri"/>
          <w:sz w:val="22"/>
          <w:szCs w:val="22"/>
          <w:lang w:val="en-US"/>
        </w:rPr>
        <w:t>;59</w:t>
      </w:r>
      <w:proofErr w:type="gramEnd"/>
      <w:r w:rsidRPr="009B0F6E">
        <w:rPr>
          <w:rFonts w:ascii="Calibri" w:hAnsi="Calibri" w:cs="Calibri"/>
          <w:sz w:val="22"/>
          <w:szCs w:val="22"/>
          <w:lang w:val="en-US"/>
        </w:rPr>
        <w:t xml:space="preserve">(10):923–929. </w:t>
      </w:r>
      <w:hyperlink r:id="rId167"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68" w:history="1">
        <w:r w:rsidRPr="009B0F6E">
          <w:rPr>
            <w:rStyle w:val="Hyperlink"/>
            <w:rFonts w:ascii="Calibri" w:hAnsi="Calibri" w:cs="Calibri"/>
            <w:sz w:val="22"/>
            <w:szCs w:val="22"/>
            <w:lang w:val="en-US"/>
          </w:rPr>
          <w:t>[PubMed]</w:t>
        </w:r>
      </w:hyperlink>
    </w:p>
    <w:p w14:paraId="2F3AACFE" w14:textId="0474255C"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Afzal MR, Gabriels JK, Jackson GG, et al. Temporal changes and clinical implications of delayed peridevice leak following left atrial appendage closure. </w:t>
      </w:r>
      <w:r w:rsidRPr="009B0F6E">
        <w:rPr>
          <w:rFonts w:ascii="Calibri" w:hAnsi="Calibri" w:cs="Calibri"/>
          <w:i/>
          <w:iCs/>
          <w:sz w:val="22"/>
          <w:szCs w:val="22"/>
          <w:lang w:val="en-US"/>
        </w:rPr>
        <w:t>JACC Clin Electrophysiol</w:t>
      </w:r>
      <w:r w:rsidRPr="009B0F6E">
        <w:rPr>
          <w:rFonts w:ascii="Calibri" w:hAnsi="Calibri" w:cs="Calibri"/>
          <w:sz w:val="22"/>
          <w:szCs w:val="22"/>
          <w:lang w:val="en-US"/>
        </w:rPr>
        <w:t>. 2022</w:t>
      </w:r>
      <w:proofErr w:type="gramStart"/>
      <w:r w:rsidRPr="009B0F6E">
        <w:rPr>
          <w:rFonts w:ascii="Calibri" w:hAnsi="Calibri" w:cs="Calibri"/>
          <w:sz w:val="22"/>
          <w:szCs w:val="22"/>
          <w:lang w:val="en-US"/>
        </w:rPr>
        <w:t>;8</w:t>
      </w:r>
      <w:proofErr w:type="gramEnd"/>
      <w:r w:rsidRPr="009B0F6E">
        <w:rPr>
          <w:rFonts w:ascii="Calibri" w:hAnsi="Calibri" w:cs="Calibri"/>
          <w:sz w:val="22"/>
          <w:szCs w:val="22"/>
          <w:lang w:val="en-US"/>
        </w:rPr>
        <w:t xml:space="preserve">(1):15–25. </w:t>
      </w:r>
      <w:hyperlink r:id="rId169"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70" w:history="1">
        <w:r w:rsidRPr="009B0F6E">
          <w:rPr>
            <w:rStyle w:val="Hyperlink"/>
            <w:rFonts w:ascii="Calibri" w:hAnsi="Calibri" w:cs="Calibri"/>
            <w:sz w:val="22"/>
            <w:szCs w:val="22"/>
            <w:lang w:val="en-US"/>
          </w:rPr>
          <w:t>[PubMed]</w:t>
        </w:r>
      </w:hyperlink>
    </w:p>
    <w:p w14:paraId="43EC28A2" w14:textId="5F55D39D"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nl-BE"/>
        </w:rPr>
        <w:t xml:space="preserve">Price MJ, Ellis CR, Nielsen-Kudsk JE, et al. </w:t>
      </w:r>
      <w:r w:rsidRPr="009B0F6E">
        <w:rPr>
          <w:rFonts w:ascii="Calibri" w:hAnsi="Calibri" w:cs="Calibri"/>
          <w:sz w:val="22"/>
          <w:szCs w:val="22"/>
          <w:lang w:val="en-US"/>
        </w:rPr>
        <w:t xml:space="preserve">Peridevice leak after transcatheter left atrial appendage occlusion: an analysis of the Amulet IDE trial. </w:t>
      </w:r>
      <w:r w:rsidRPr="009B0F6E">
        <w:rPr>
          <w:rFonts w:ascii="Calibri" w:hAnsi="Calibri" w:cs="Calibri"/>
          <w:i/>
          <w:iCs/>
          <w:sz w:val="22"/>
          <w:szCs w:val="22"/>
          <w:lang w:val="en-US"/>
        </w:rPr>
        <w:t>JACC Cardiovasc Interv</w:t>
      </w:r>
      <w:r w:rsidRPr="009B0F6E">
        <w:rPr>
          <w:rFonts w:ascii="Calibri" w:hAnsi="Calibri" w:cs="Calibri"/>
          <w:sz w:val="22"/>
          <w:szCs w:val="22"/>
          <w:lang w:val="en-US"/>
        </w:rPr>
        <w:t>. 2022</w:t>
      </w:r>
      <w:proofErr w:type="gramStart"/>
      <w:r w:rsidRPr="009B0F6E">
        <w:rPr>
          <w:rFonts w:ascii="Calibri" w:hAnsi="Calibri" w:cs="Calibri"/>
          <w:sz w:val="22"/>
          <w:szCs w:val="22"/>
          <w:lang w:val="en-US"/>
        </w:rPr>
        <w:t>;15</w:t>
      </w:r>
      <w:proofErr w:type="gramEnd"/>
      <w:r w:rsidRPr="009B0F6E">
        <w:rPr>
          <w:rFonts w:ascii="Calibri" w:hAnsi="Calibri" w:cs="Calibri"/>
          <w:sz w:val="22"/>
          <w:szCs w:val="22"/>
          <w:lang w:val="en-US"/>
        </w:rPr>
        <w:t xml:space="preserve">(21):2127–2138. </w:t>
      </w:r>
      <w:hyperlink r:id="rId171"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72" w:history="1">
        <w:r w:rsidRPr="009B0F6E">
          <w:rPr>
            <w:rStyle w:val="Hyperlink"/>
            <w:rFonts w:ascii="Calibri" w:hAnsi="Calibri" w:cs="Calibri"/>
            <w:sz w:val="22"/>
            <w:szCs w:val="22"/>
            <w:lang w:val="en-US"/>
          </w:rPr>
          <w:t>[PubMed]</w:t>
        </w:r>
      </w:hyperlink>
    </w:p>
    <w:p w14:paraId="55DF9A9A" w14:textId="6FE564AB"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nl-BE"/>
        </w:rPr>
        <w:t xml:space="preserve">Alkhouli M, De Backer O, Ellis CR, et al. </w:t>
      </w:r>
      <w:r w:rsidRPr="009B0F6E">
        <w:rPr>
          <w:rFonts w:ascii="Calibri" w:hAnsi="Calibri" w:cs="Calibri"/>
          <w:sz w:val="22"/>
          <w:szCs w:val="22"/>
          <w:lang w:val="en-US"/>
        </w:rPr>
        <w:t xml:space="preserve">Peridevice leak after left atrial appendage occlusion: incidence, mechanisms, clinical impact, and management. </w:t>
      </w:r>
      <w:r w:rsidRPr="009B0F6E">
        <w:rPr>
          <w:rFonts w:ascii="Calibri" w:hAnsi="Calibri" w:cs="Calibri"/>
          <w:i/>
          <w:iCs/>
          <w:sz w:val="22"/>
          <w:szCs w:val="22"/>
          <w:lang w:val="en-US"/>
        </w:rPr>
        <w:t>JACC Cardiovasc Interv</w:t>
      </w:r>
      <w:r w:rsidRPr="009B0F6E">
        <w:rPr>
          <w:rFonts w:ascii="Calibri" w:hAnsi="Calibri" w:cs="Calibri"/>
          <w:sz w:val="22"/>
          <w:szCs w:val="22"/>
          <w:lang w:val="en-US"/>
        </w:rPr>
        <w:t>. 2023</w:t>
      </w:r>
      <w:proofErr w:type="gramStart"/>
      <w:r w:rsidRPr="009B0F6E">
        <w:rPr>
          <w:rFonts w:ascii="Calibri" w:hAnsi="Calibri" w:cs="Calibri"/>
          <w:sz w:val="22"/>
          <w:szCs w:val="22"/>
          <w:lang w:val="en-US"/>
        </w:rPr>
        <w:t>;16</w:t>
      </w:r>
      <w:proofErr w:type="gramEnd"/>
      <w:r w:rsidRPr="009B0F6E">
        <w:rPr>
          <w:rFonts w:ascii="Calibri" w:hAnsi="Calibri" w:cs="Calibri"/>
          <w:sz w:val="22"/>
          <w:szCs w:val="22"/>
          <w:lang w:val="en-US"/>
        </w:rPr>
        <w:t xml:space="preserve">(6):627–642. </w:t>
      </w:r>
      <w:hyperlink r:id="rId173"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74" w:history="1">
        <w:r w:rsidRPr="009B0F6E">
          <w:rPr>
            <w:rStyle w:val="Hyperlink"/>
            <w:rFonts w:ascii="Calibri" w:hAnsi="Calibri" w:cs="Calibri"/>
            <w:sz w:val="22"/>
            <w:szCs w:val="22"/>
            <w:lang w:val="en-US"/>
          </w:rPr>
          <w:t>[PubMed]</w:t>
        </w:r>
      </w:hyperlink>
    </w:p>
    <w:p w14:paraId="7E3AF848" w14:textId="045576F9"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Killu AM, Gbolabo Adeola O, Della Rocca DG, et al. Leak closure following left atrial appendage exclusion procedures: a multicenter registry. </w:t>
      </w:r>
      <w:r w:rsidRPr="009B0F6E">
        <w:rPr>
          <w:rFonts w:ascii="Calibri" w:hAnsi="Calibri" w:cs="Calibri"/>
          <w:i/>
          <w:iCs/>
          <w:sz w:val="22"/>
          <w:szCs w:val="22"/>
          <w:lang w:val="en-US"/>
        </w:rPr>
        <w:t>Catheter Cardiovasc Interv</w:t>
      </w:r>
      <w:r w:rsidRPr="009B0F6E">
        <w:rPr>
          <w:rFonts w:ascii="Calibri" w:hAnsi="Calibri" w:cs="Calibri"/>
          <w:sz w:val="22"/>
          <w:szCs w:val="22"/>
          <w:lang w:val="en-US"/>
        </w:rPr>
        <w:t>. 2022</w:t>
      </w:r>
      <w:proofErr w:type="gramStart"/>
      <w:r w:rsidRPr="009B0F6E">
        <w:rPr>
          <w:rFonts w:ascii="Calibri" w:hAnsi="Calibri" w:cs="Calibri"/>
          <w:sz w:val="22"/>
          <w:szCs w:val="22"/>
          <w:lang w:val="en-US"/>
        </w:rPr>
        <w:t>;99</w:t>
      </w:r>
      <w:proofErr w:type="gramEnd"/>
      <w:r w:rsidRPr="009B0F6E">
        <w:rPr>
          <w:rFonts w:ascii="Calibri" w:hAnsi="Calibri" w:cs="Calibri"/>
          <w:sz w:val="22"/>
          <w:szCs w:val="22"/>
          <w:lang w:val="en-US"/>
        </w:rPr>
        <w:t xml:space="preserve">(6):1867–1876. </w:t>
      </w:r>
      <w:hyperlink r:id="rId175"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76" w:history="1">
        <w:r w:rsidRPr="009B0F6E">
          <w:rPr>
            <w:rStyle w:val="Hyperlink"/>
            <w:rFonts w:ascii="Calibri" w:hAnsi="Calibri" w:cs="Calibri"/>
            <w:sz w:val="22"/>
            <w:szCs w:val="22"/>
            <w:lang w:val="en-US"/>
          </w:rPr>
          <w:t>[PubMed]</w:t>
        </w:r>
      </w:hyperlink>
    </w:p>
    <w:p w14:paraId="3753E967" w14:textId="5DC1EF58"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Musikantow DR, Shivamurthy P, Croft LB, et al. Transcatheter embolic coils to treat peridevice leaks after left atrial appendage closure. </w:t>
      </w:r>
      <w:r w:rsidRPr="009B0F6E">
        <w:rPr>
          <w:rFonts w:ascii="Calibri" w:hAnsi="Calibri" w:cs="Calibri"/>
          <w:i/>
          <w:iCs/>
          <w:sz w:val="22"/>
          <w:szCs w:val="22"/>
          <w:lang w:val="en-US"/>
        </w:rPr>
        <w:t>Heart Rhythm</w:t>
      </w:r>
      <w:r w:rsidRPr="009B0F6E">
        <w:rPr>
          <w:rFonts w:ascii="Calibri" w:hAnsi="Calibri" w:cs="Calibri"/>
          <w:sz w:val="22"/>
          <w:szCs w:val="22"/>
          <w:lang w:val="en-US"/>
        </w:rPr>
        <w:t>. 2021</w:t>
      </w:r>
      <w:proofErr w:type="gramStart"/>
      <w:r w:rsidRPr="009B0F6E">
        <w:rPr>
          <w:rFonts w:ascii="Calibri" w:hAnsi="Calibri" w:cs="Calibri"/>
          <w:sz w:val="22"/>
          <w:szCs w:val="22"/>
          <w:lang w:val="en-US"/>
        </w:rPr>
        <w:t>;18</w:t>
      </w:r>
      <w:proofErr w:type="gramEnd"/>
      <w:r w:rsidRPr="009B0F6E">
        <w:rPr>
          <w:rFonts w:ascii="Calibri" w:hAnsi="Calibri" w:cs="Calibri"/>
          <w:sz w:val="22"/>
          <w:szCs w:val="22"/>
          <w:lang w:val="en-US"/>
        </w:rPr>
        <w:t xml:space="preserve">(5):717–722. </w:t>
      </w:r>
      <w:hyperlink r:id="rId177"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78" w:history="1">
        <w:r w:rsidRPr="009B0F6E">
          <w:rPr>
            <w:rStyle w:val="Hyperlink"/>
            <w:rFonts w:ascii="Calibri" w:hAnsi="Calibri" w:cs="Calibri"/>
            <w:sz w:val="22"/>
            <w:szCs w:val="22"/>
            <w:lang w:val="en-US"/>
          </w:rPr>
          <w:t>[PubMed]</w:t>
        </w:r>
      </w:hyperlink>
    </w:p>
    <w:p w14:paraId="292DE904" w14:textId="63400A15"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Della Rocca DG, Murtaza G, Di Biase L, et al. Radiofrequency energy applications targeting significant residual leaks after Watchman implantation: a prospective, multicenter experience. </w:t>
      </w:r>
      <w:r w:rsidRPr="009B0F6E">
        <w:rPr>
          <w:rFonts w:ascii="Calibri" w:hAnsi="Calibri" w:cs="Calibri"/>
          <w:i/>
          <w:iCs/>
          <w:sz w:val="22"/>
          <w:szCs w:val="22"/>
          <w:lang w:val="en-US"/>
        </w:rPr>
        <w:t>JACC Clin Electrophysiol</w:t>
      </w:r>
      <w:r w:rsidRPr="009B0F6E">
        <w:rPr>
          <w:rFonts w:ascii="Calibri" w:hAnsi="Calibri" w:cs="Calibri"/>
          <w:sz w:val="22"/>
          <w:szCs w:val="22"/>
          <w:lang w:val="en-US"/>
        </w:rPr>
        <w:t>. 2021</w:t>
      </w:r>
      <w:proofErr w:type="gramStart"/>
      <w:r w:rsidRPr="009B0F6E">
        <w:rPr>
          <w:rFonts w:ascii="Calibri" w:hAnsi="Calibri" w:cs="Calibri"/>
          <w:sz w:val="22"/>
          <w:szCs w:val="22"/>
          <w:lang w:val="en-US"/>
        </w:rPr>
        <w:t>;7</w:t>
      </w:r>
      <w:proofErr w:type="gramEnd"/>
      <w:r w:rsidRPr="009B0F6E">
        <w:rPr>
          <w:rFonts w:ascii="Calibri" w:hAnsi="Calibri" w:cs="Calibri"/>
          <w:sz w:val="22"/>
          <w:szCs w:val="22"/>
          <w:lang w:val="en-US"/>
        </w:rPr>
        <w:t xml:space="preserve">(12):1573–1584. </w:t>
      </w:r>
      <w:hyperlink r:id="rId179"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80" w:history="1">
        <w:r w:rsidRPr="009B0F6E">
          <w:rPr>
            <w:rStyle w:val="Hyperlink"/>
            <w:rFonts w:ascii="Calibri" w:hAnsi="Calibri" w:cs="Calibri"/>
            <w:sz w:val="22"/>
            <w:szCs w:val="22"/>
            <w:lang w:val="en-US"/>
          </w:rPr>
          <w:t>[PubMed]</w:t>
        </w:r>
      </w:hyperlink>
    </w:p>
    <w:p w14:paraId="6150F4B3" w14:textId="3F0EF9E0"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nl-BE"/>
        </w:rPr>
        <w:t xml:space="preserve">Piayda K, Sievert K, Rocca DD, et al. </w:t>
      </w:r>
      <w:r w:rsidRPr="009B0F6E">
        <w:rPr>
          <w:rFonts w:ascii="Calibri" w:hAnsi="Calibri" w:cs="Calibri"/>
          <w:sz w:val="22"/>
          <w:szCs w:val="22"/>
          <w:lang w:val="en-US"/>
        </w:rPr>
        <w:t>Safety and feasibility of peri-device leakage closure after LAAO: an international, multicentre collaborative study.</w:t>
      </w:r>
      <w:r w:rsidRPr="009B0F6E">
        <w:rPr>
          <w:rFonts w:ascii="Calibri" w:hAnsi="Calibri" w:cs="Calibri"/>
          <w:sz w:val="22"/>
          <w:szCs w:val="22"/>
        </w:rPr>
        <w:t xml:space="preserve"> </w:t>
      </w:r>
      <w:r w:rsidRPr="001E0E29">
        <w:rPr>
          <w:rFonts w:ascii="Calibri" w:hAnsi="Calibri" w:cs="Calibri"/>
          <w:i/>
          <w:sz w:val="22"/>
          <w:szCs w:val="22"/>
          <w:lang w:val="en-US"/>
        </w:rPr>
        <w:t>EuroIntervention</w:t>
      </w:r>
      <w:r w:rsidRPr="009B0F6E">
        <w:rPr>
          <w:rFonts w:ascii="Calibri" w:hAnsi="Calibri" w:cs="Calibri"/>
          <w:sz w:val="22"/>
          <w:szCs w:val="22"/>
          <w:lang w:val="en-US"/>
        </w:rPr>
        <w:t>. 2021</w:t>
      </w:r>
      <w:proofErr w:type="gramStart"/>
      <w:r w:rsidRPr="009B0F6E">
        <w:rPr>
          <w:rFonts w:ascii="Calibri" w:hAnsi="Calibri" w:cs="Calibri"/>
          <w:sz w:val="22"/>
          <w:szCs w:val="22"/>
          <w:lang w:val="en-US"/>
        </w:rPr>
        <w:t>;17</w:t>
      </w:r>
      <w:proofErr w:type="gramEnd"/>
      <w:r w:rsidRPr="009B0F6E">
        <w:rPr>
          <w:rFonts w:ascii="Calibri" w:hAnsi="Calibri" w:cs="Calibri"/>
          <w:sz w:val="22"/>
          <w:szCs w:val="22"/>
          <w:lang w:val="en-US"/>
        </w:rPr>
        <w:t xml:space="preserve">(12):e1033–e1040. </w:t>
      </w:r>
      <w:hyperlink r:id="rId181"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82" w:history="1">
        <w:r w:rsidRPr="009B0F6E">
          <w:rPr>
            <w:rStyle w:val="Hyperlink"/>
            <w:rFonts w:ascii="Calibri" w:hAnsi="Calibri" w:cs="Calibri"/>
            <w:sz w:val="22"/>
            <w:szCs w:val="22"/>
            <w:lang w:val="en-US"/>
          </w:rPr>
          <w:t>[PubMed]</w:t>
        </w:r>
      </w:hyperlink>
    </w:p>
    <w:p w14:paraId="17BE84B3" w14:textId="3F7F7551"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Kaplan AV, Devellian C, Kim JH, et al. Foam-based left atrial appendage closure (CLAAS) device: evaluation in a chronic canine model. </w:t>
      </w:r>
      <w:r w:rsidRPr="009B0F6E">
        <w:rPr>
          <w:rFonts w:ascii="Calibri" w:hAnsi="Calibri" w:cs="Calibri"/>
          <w:i/>
          <w:iCs/>
          <w:sz w:val="22"/>
          <w:szCs w:val="22"/>
          <w:lang w:val="en-US"/>
        </w:rPr>
        <w:t>J Soc Cardiovasc Angiogr Interv</w:t>
      </w:r>
      <w:r w:rsidRPr="009B0F6E">
        <w:rPr>
          <w:rFonts w:ascii="Calibri" w:hAnsi="Calibri" w:cs="Calibri"/>
          <w:sz w:val="22"/>
          <w:szCs w:val="22"/>
          <w:lang w:val="en-US"/>
        </w:rPr>
        <w:t>. 2023</w:t>
      </w:r>
      <w:proofErr w:type="gramStart"/>
      <w:r w:rsidRPr="009B0F6E">
        <w:rPr>
          <w:rFonts w:ascii="Calibri" w:hAnsi="Calibri" w:cs="Calibri"/>
          <w:sz w:val="22"/>
          <w:szCs w:val="22"/>
          <w:lang w:val="en-US"/>
        </w:rPr>
        <w:t>;2</w:t>
      </w:r>
      <w:proofErr w:type="gramEnd"/>
      <w:r w:rsidRPr="009B0F6E">
        <w:rPr>
          <w:rFonts w:ascii="Calibri" w:hAnsi="Calibri" w:cs="Calibri"/>
          <w:sz w:val="22"/>
          <w:szCs w:val="22"/>
          <w:lang w:val="en-US"/>
        </w:rPr>
        <w:t xml:space="preserve">(2):100555. </w:t>
      </w:r>
      <w:hyperlink r:id="rId183"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84" w:history="1">
        <w:r w:rsidRPr="009B0F6E">
          <w:rPr>
            <w:rStyle w:val="Hyperlink"/>
            <w:rFonts w:ascii="Calibri" w:hAnsi="Calibri" w:cs="Calibri"/>
            <w:sz w:val="22"/>
            <w:szCs w:val="22"/>
            <w:lang w:val="en-US"/>
          </w:rPr>
          <w:t>[PubMed]</w:t>
        </w:r>
      </w:hyperlink>
    </w:p>
    <w:p w14:paraId="02F57CE8" w14:textId="141B6F47"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nl-BE"/>
        </w:rPr>
        <w:t xml:space="preserve">Sommer RJ, Kim JH, Szerlip M, et al. </w:t>
      </w:r>
      <w:r w:rsidRPr="009B0F6E">
        <w:rPr>
          <w:rFonts w:ascii="Calibri" w:hAnsi="Calibri" w:cs="Calibri"/>
          <w:sz w:val="22"/>
          <w:szCs w:val="22"/>
          <w:lang w:val="en-US"/>
        </w:rPr>
        <w:t xml:space="preserve">Conformal left atrial appendage seal device for left atrial appendage closure: first clinical use. </w:t>
      </w:r>
      <w:r w:rsidRPr="009B0F6E">
        <w:rPr>
          <w:rFonts w:ascii="Calibri" w:hAnsi="Calibri" w:cs="Calibri"/>
          <w:i/>
          <w:iCs/>
          <w:sz w:val="22"/>
          <w:szCs w:val="22"/>
          <w:lang w:val="en-US"/>
        </w:rPr>
        <w:t>JACC Cardiovasc Interv</w:t>
      </w:r>
      <w:r w:rsidRPr="009B0F6E">
        <w:rPr>
          <w:rFonts w:ascii="Calibri" w:hAnsi="Calibri" w:cs="Calibri"/>
          <w:sz w:val="22"/>
          <w:szCs w:val="22"/>
          <w:lang w:val="en-US"/>
        </w:rPr>
        <w:t>. 2021</w:t>
      </w:r>
      <w:proofErr w:type="gramStart"/>
      <w:r w:rsidRPr="009B0F6E">
        <w:rPr>
          <w:rFonts w:ascii="Calibri" w:hAnsi="Calibri" w:cs="Calibri"/>
          <w:sz w:val="22"/>
          <w:szCs w:val="22"/>
          <w:lang w:val="en-US"/>
        </w:rPr>
        <w:t>;14</w:t>
      </w:r>
      <w:proofErr w:type="gramEnd"/>
      <w:r w:rsidRPr="009B0F6E">
        <w:rPr>
          <w:rFonts w:ascii="Calibri" w:hAnsi="Calibri" w:cs="Calibri"/>
          <w:sz w:val="22"/>
          <w:szCs w:val="22"/>
          <w:lang w:val="en-US"/>
        </w:rPr>
        <w:t xml:space="preserve">(21):2368–2374. </w:t>
      </w:r>
      <w:hyperlink r:id="rId185"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86" w:history="1">
        <w:r w:rsidRPr="009B0F6E">
          <w:rPr>
            <w:rStyle w:val="Hyperlink"/>
            <w:rFonts w:ascii="Calibri" w:hAnsi="Calibri" w:cs="Calibri"/>
            <w:sz w:val="22"/>
            <w:szCs w:val="22"/>
            <w:lang w:val="en-US"/>
          </w:rPr>
          <w:t>[PubMed]</w:t>
        </w:r>
      </w:hyperlink>
    </w:p>
    <w:p w14:paraId="1EC57466" w14:textId="641B8631"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Wong GX, Kar S, Smith TW, Spangler T, Bolling SF, Rogers JH. Transcatheter left atrial appendage exclusion: preclinical and early clinical results with the </w:t>
      </w:r>
      <w:proofErr w:type="gramStart"/>
      <w:r w:rsidRPr="009B0F6E">
        <w:rPr>
          <w:rFonts w:ascii="Calibri" w:hAnsi="Calibri" w:cs="Calibri"/>
          <w:sz w:val="22"/>
          <w:szCs w:val="22"/>
          <w:lang w:val="en-US"/>
        </w:rPr>
        <w:t>Laminar</w:t>
      </w:r>
      <w:proofErr w:type="gramEnd"/>
      <w:r w:rsidRPr="009B0F6E">
        <w:rPr>
          <w:rFonts w:ascii="Calibri" w:hAnsi="Calibri" w:cs="Calibri"/>
          <w:sz w:val="22"/>
          <w:szCs w:val="22"/>
          <w:lang w:val="en-US"/>
        </w:rPr>
        <w:t xml:space="preserve"> device. </w:t>
      </w:r>
      <w:r w:rsidRPr="009B0F6E">
        <w:rPr>
          <w:rFonts w:ascii="Calibri" w:hAnsi="Calibri" w:cs="Calibri"/>
          <w:i/>
          <w:iCs/>
          <w:sz w:val="22"/>
          <w:szCs w:val="22"/>
          <w:lang w:val="en-US"/>
        </w:rPr>
        <w:t>JACC Cardiovasc Interv</w:t>
      </w:r>
      <w:r w:rsidRPr="009B0F6E">
        <w:rPr>
          <w:rFonts w:ascii="Calibri" w:hAnsi="Calibri" w:cs="Calibri"/>
          <w:sz w:val="22"/>
          <w:szCs w:val="22"/>
          <w:lang w:val="en-US"/>
        </w:rPr>
        <w:t>. 2023</w:t>
      </w:r>
      <w:proofErr w:type="gramStart"/>
      <w:r w:rsidRPr="009B0F6E">
        <w:rPr>
          <w:rFonts w:ascii="Calibri" w:hAnsi="Calibri" w:cs="Calibri"/>
          <w:sz w:val="22"/>
          <w:szCs w:val="22"/>
          <w:lang w:val="en-US"/>
        </w:rPr>
        <w:t>;16</w:t>
      </w:r>
      <w:proofErr w:type="gramEnd"/>
      <w:r w:rsidRPr="009B0F6E">
        <w:rPr>
          <w:rFonts w:ascii="Calibri" w:hAnsi="Calibri" w:cs="Calibri"/>
          <w:sz w:val="22"/>
          <w:szCs w:val="22"/>
          <w:lang w:val="en-US"/>
        </w:rPr>
        <w:t xml:space="preserve">(11):1347–1357. </w:t>
      </w:r>
      <w:hyperlink r:id="rId187"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88" w:history="1">
        <w:r w:rsidRPr="009B0F6E">
          <w:rPr>
            <w:rStyle w:val="Hyperlink"/>
            <w:rFonts w:ascii="Calibri" w:hAnsi="Calibri" w:cs="Calibri"/>
            <w:sz w:val="22"/>
            <w:szCs w:val="22"/>
            <w:lang w:val="en-US"/>
          </w:rPr>
          <w:t>[PubMed]</w:t>
        </w:r>
      </w:hyperlink>
    </w:p>
    <w:p w14:paraId="180F35AA" w14:textId="0EF7DFB8"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nl-BE"/>
        </w:rPr>
        <w:t xml:space="preserve">Chen S, Schmidt B, Bordignon S, et al. </w:t>
      </w:r>
      <w:r w:rsidRPr="009B0F6E">
        <w:rPr>
          <w:rFonts w:ascii="Calibri" w:hAnsi="Calibri" w:cs="Calibri"/>
          <w:sz w:val="22"/>
          <w:szCs w:val="22"/>
          <w:lang w:val="en-US"/>
        </w:rPr>
        <w:t xml:space="preserve">Feasibility of percutaneous left atrial appendage closure using a novel LAmbre occluder in patients with atrial fibrillation: Initial results from a prospective cohort registry study. </w:t>
      </w:r>
      <w:r w:rsidRPr="009B0F6E">
        <w:rPr>
          <w:rFonts w:ascii="Calibri" w:hAnsi="Calibri" w:cs="Calibri"/>
          <w:i/>
          <w:iCs/>
          <w:sz w:val="22"/>
          <w:szCs w:val="22"/>
          <w:lang w:val="en-US"/>
        </w:rPr>
        <w:t>J Cardiovasc Electrophysiol</w:t>
      </w:r>
      <w:r w:rsidRPr="009B0F6E">
        <w:rPr>
          <w:rFonts w:ascii="Calibri" w:hAnsi="Calibri" w:cs="Calibri"/>
          <w:sz w:val="22"/>
          <w:szCs w:val="22"/>
          <w:lang w:val="en-US"/>
        </w:rPr>
        <w:t>. 2018</w:t>
      </w:r>
      <w:proofErr w:type="gramStart"/>
      <w:r w:rsidRPr="009B0F6E">
        <w:rPr>
          <w:rFonts w:ascii="Calibri" w:hAnsi="Calibri" w:cs="Calibri"/>
          <w:sz w:val="22"/>
          <w:szCs w:val="22"/>
          <w:lang w:val="en-US"/>
        </w:rPr>
        <w:t>;29</w:t>
      </w:r>
      <w:proofErr w:type="gramEnd"/>
      <w:r w:rsidRPr="009B0F6E">
        <w:rPr>
          <w:rFonts w:ascii="Calibri" w:hAnsi="Calibri" w:cs="Calibri"/>
          <w:sz w:val="22"/>
          <w:szCs w:val="22"/>
          <w:lang w:val="en-US"/>
        </w:rPr>
        <w:t xml:space="preserve">(2):291–297. </w:t>
      </w:r>
      <w:hyperlink r:id="rId189"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90" w:history="1">
        <w:r w:rsidRPr="009B0F6E">
          <w:rPr>
            <w:rStyle w:val="Hyperlink"/>
            <w:rFonts w:ascii="Calibri" w:hAnsi="Calibri" w:cs="Calibri"/>
            <w:sz w:val="22"/>
            <w:szCs w:val="22"/>
            <w:lang w:val="en-US"/>
          </w:rPr>
          <w:t>[PubMed]</w:t>
        </w:r>
      </w:hyperlink>
    </w:p>
    <w:p w14:paraId="1A8A859D" w14:textId="40CDB6F5"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Gianni C, Della Rocca DG, Natale A, Horton RP. Interventional treatment for stroke prevention. </w:t>
      </w:r>
      <w:r w:rsidRPr="009B0F6E">
        <w:rPr>
          <w:rFonts w:ascii="Calibri" w:hAnsi="Calibri" w:cs="Calibri"/>
          <w:i/>
          <w:iCs/>
          <w:sz w:val="22"/>
          <w:szCs w:val="22"/>
          <w:lang w:val="en-US"/>
        </w:rPr>
        <w:t>Korean Circ J</w:t>
      </w:r>
      <w:r w:rsidRPr="009B0F6E">
        <w:rPr>
          <w:rFonts w:ascii="Calibri" w:hAnsi="Calibri" w:cs="Calibri"/>
          <w:sz w:val="22"/>
          <w:szCs w:val="22"/>
          <w:lang w:val="en-US"/>
        </w:rPr>
        <w:t>. 2021</w:t>
      </w:r>
      <w:proofErr w:type="gramStart"/>
      <w:r w:rsidRPr="009B0F6E">
        <w:rPr>
          <w:rFonts w:ascii="Calibri" w:hAnsi="Calibri" w:cs="Calibri"/>
          <w:sz w:val="22"/>
          <w:szCs w:val="22"/>
          <w:lang w:val="en-US"/>
        </w:rPr>
        <w:t>;51</w:t>
      </w:r>
      <w:proofErr w:type="gramEnd"/>
      <w:r w:rsidRPr="009B0F6E">
        <w:rPr>
          <w:rFonts w:ascii="Calibri" w:hAnsi="Calibri" w:cs="Calibri"/>
          <w:sz w:val="22"/>
          <w:szCs w:val="22"/>
          <w:lang w:val="en-US"/>
        </w:rPr>
        <w:t xml:space="preserve">(1):1–14. </w:t>
      </w:r>
      <w:hyperlink r:id="rId191"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92" w:history="1">
        <w:r w:rsidRPr="009B0F6E">
          <w:rPr>
            <w:rStyle w:val="Hyperlink"/>
            <w:rFonts w:ascii="Calibri" w:hAnsi="Calibri" w:cs="Calibri"/>
            <w:sz w:val="22"/>
            <w:szCs w:val="22"/>
            <w:lang w:val="en-US"/>
          </w:rPr>
          <w:t>[PubMed]</w:t>
        </w:r>
      </w:hyperlink>
    </w:p>
    <w:p w14:paraId="4F349D1E" w14:textId="2025DC62" w:rsidR="00980B6B" w:rsidRPr="009B0F6E" w:rsidRDefault="00980B6B" w:rsidP="00347C06">
      <w:pPr>
        <w:pStyle w:val="Bibliography"/>
        <w:widowControl w:val="0"/>
        <w:numPr>
          <w:ilvl w:val="0"/>
          <w:numId w:val="3"/>
        </w:numPr>
        <w:spacing w:after="0"/>
        <w:ind w:left="360"/>
        <w:rPr>
          <w:rFonts w:ascii="Calibri" w:hAnsi="Calibri" w:cs="Calibri"/>
          <w:sz w:val="22"/>
          <w:szCs w:val="22"/>
          <w:lang w:val="en-US"/>
        </w:rPr>
      </w:pPr>
      <w:r w:rsidRPr="001E0E29">
        <w:rPr>
          <w:rFonts w:ascii="Calibri" w:hAnsi="Calibri" w:cs="Calibri"/>
          <w:sz w:val="22"/>
          <w:szCs w:val="22"/>
          <w:lang w:val="nl-BE"/>
        </w:rPr>
        <w:t xml:space="preserve">Bellmann B, Schnupp S, Kühnlein P, et al. </w:t>
      </w:r>
      <w:r w:rsidRPr="009B0F6E">
        <w:rPr>
          <w:rFonts w:ascii="Calibri" w:hAnsi="Calibri" w:cs="Calibri"/>
          <w:sz w:val="22"/>
          <w:szCs w:val="22"/>
          <w:lang w:val="en-US"/>
        </w:rPr>
        <w:t>Left atrial appendage closure with the new Occlutech</w:t>
      </w:r>
      <w:r w:rsidRPr="001E0E29">
        <w:rPr>
          <w:rFonts w:ascii="Calibri" w:hAnsi="Calibri" w:cs="Calibri"/>
          <w:sz w:val="22"/>
          <w:szCs w:val="22"/>
          <w:vertAlign w:val="superscript"/>
          <w:lang w:val="en-US"/>
        </w:rPr>
        <w:t>®</w:t>
      </w:r>
      <w:r w:rsidRPr="009B0F6E">
        <w:rPr>
          <w:rFonts w:ascii="Calibri" w:hAnsi="Calibri" w:cs="Calibri"/>
          <w:sz w:val="22"/>
          <w:szCs w:val="22"/>
          <w:lang w:val="en-US"/>
        </w:rPr>
        <w:t xml:space="preserve"> device: first in man experience and neurological outcome. </w:t>
      </w:r>
      <w:r w:rsidRPr="009B0F6E">
        <w:rPr>
          <w:rFonts w:ascii="Calibri" w:hAnsi="Calibri" w:cs="Calibri"/>
          <w:i/>
          <w:iCs/>
          <w:sz w:val="22"/>
          <w:szCs w:val="22"/>
          <w:lang w:val="en-US"/>
        </w:rPr>
        <w:t>J Cardiovasc Electrophysiol</w:t>
      </w:r>
      <w:r w:rsidRPr="009B0F6E">
        <w:rPr>
          <w:rFonts w:ascii="Calibri" w:hAnsi="Calibri" w:cs="Calibri"/>
          <w:sz w:val="22"/>
          <w:szCs w:val="22"/>
          <w:lang w:val="en-US"/>
        </w:rPr>
        <w:t>. 2017</w:t>
      </w:r>
      <w:proofErr w:type="gramStart"/>
      <w:r w:rsidRPr="009B0F6E">
        <w:rPr>
          <w:rFonts w:ascii="Calibri" w:hAnsi="Calibri" w:cs="Calibri"/>
          <w:sz w:val="22"/>
          <w:szCs w:val="22"/>
          <w:lang w:val="en-US"/>
        </w:rPr>
        <w:t>;28</w:t>
      </w:r>
      <w:proofErr w:type="gramEnd"/>
      <w:r w:rsidRPr="009B0F6E">
        <w:rPr>
          <w:rFonts w:ascii="Calibri" w:hAnsi="Calibri" w:cs="Calibri"/>
          <w:sz w:val="22"/>
          <w:szCs w:val="22"/>
          <w:lang w:val="en-US"/>
        </w:rPr>
        <w:t xml:space="preserve">(3):315–320. </w:t>
      </w:r>
      <w:hyperlink r:id="rId193" w:history="1">
        <w:r w:rsidRPr="009B0F6E">
          <w:rPr>
            <w:rStyle w:val="Hyperlink"/>
            <w:rFonts w:ascii="Calibri" w:hAnsi="Calibri" w:cs="Calibri"/>
            <w:sz w:val="22"/>
            <w:szCs w:val="22"/>
          </w:rPr>
          <w:t>[CrossRef]</w:t>
        </w:r>
      </w:hyperlink>
      <w:r w:rsidRPr="009B0F6E">
        <w:rPr>
          <w:rFonts w:ascii="Calibri" w:hAnsi="Calibri" w:cs="Calibri"/>
          <w:sz w:val="22"/>
          <w:szCs w:val="22"/>
          <w:lang w:val="en-US"/>
        </w:rPr>
        <w:t xml:space="preserve"> </w:t>
      </w:r>
      <w:hyperlink r:id="rId194" w:history="1">
        <w:r w:rsidRPr="009B0F6E">
          <w:rPr>
            <w:rStyle w:val="Hyperlink"/>
            <w:rFonts w:ascii="Calibri" w:hAnsi="Calibri" w:cs="Calibri"/>
            <w:sz w:val="22"/>
            <w:szCs w:val="22"/>
            <w:lang w:val="en-US"/>
          </w:rPr>
          <w:t>[PubMed]</w:t>
        </w:r>
      </w:hyperlink>
    </w:p>
    <w:p w14:paraId="304837B3" w14:textId="5E60EFD1" w:rsidR="00DD3127" w:rsidRPr="009B0F6E" w:rsidRDefault="00C1376C" w:rsidP="00347C06">
      <w:pPr>
        <w:pStyle w:val="Bibliography"/>
        <w:widowControl w:val="0"/>
        <w:numPr>
          <w:ilvl w:val="0"/>
          <w:numId w:val="3"/>
        </w:numPr>
        <w:spacing w:after="0"/>
        <w:ind w:left="360"/>
        <w:rPr>
          <w:rFonts w:ascii="Calibri" w:hAnsi="Calibri" w:cs="Calibri"/>
          <w:sz w:val="22"/>
          <w:szCs w:val="22"/>
          <w:lang w:val="en-US"/>
        </w:rPr>
      </w:pPr>
      <w:r w:rsidRPr="009B0F6E">
        <w:rPr>
          <w:rFonts w:ascii="Calibri" w:hAnsi="Calibri" w:cs="Calibri"/>
          <w:sz w:val="22"/>
          <w:szCs w:val="22"/>
          <w:lang w:val="en-US"/>
        </w:rPr>
        <w:t xml:space="preserve">Reinthaler M, Grosshauser J, Schmidt T, et al. Preclinical assessment of a modified Occlutech left atrial appendage closure device in a porcine model. </w:t>
      </w:r>
      <w:r w:rsidRPr="009B0F6E">
        <w:rPr>
          <w:rFonts w:ascii="Calibri" w:hAnsi="Calibri" w:cs="Calibri"/>
          <w:i/>
          <w:iCs/>
          <w:sz w:val="22"/>
          <w:szCs w:val="22"/>
          <w:lang w:val="en-US"/>
        </w:rPr>
        <w:t>Sci Rep</w:t>
      </w:r>
      <w:r w:rsidRPr="009B0F6E">
        <w:rPr>
          <w:rFonts w:ascii="Calibri" w:hAnsi="Calibri" w:cs="Calibri"/>
          <w:sz w:val="22"/>
          <w:szCs w:val="22"/>
          <w:lang w:val="en-US"/>
        </w:rPr>
        <w:t>. 2021</w:t>
      </w:r>
      <w:proofErr w:type="gramStart"/>
      <w:r w:rsidRPr="009B0F6E">
        <w:rPr>
          <w:rFonts w:ascii="Calibri" w:hAnsi="Calibri" w:cs="Calibri"/>
          <w:sz w:val="22"/>
          <w:szCs w:val="22"/>
          <w:lang w:val="en-US"/>
        </w:rPr>
        <w:t>;11</w:t>
      </w:r>
      <w:proofErr w:type="gramEnd"/>
      <w:r w:rsidRPr="009B0F6E">
        <w:rPr>
          <w:rFonts w:ascii="Calibri" w:hAnsi="Calibri" w:cs="Calibri"/>
          <w:sz w:val="22"/>
          <w:szCs w:val="22"/>
          <w:lang w:val="en-US"/>
        </w:rPr>
        <w:t xml:space="preserve">(1):2988. </w:t>
      </w:r>
      <w:hyperlink r:id="rId195" w:history="1">
        <w:r w:rsidR="000C6287" w:rsidRPr="009B0F6E">
          <w:rPr>
            <w:rStyle w:val="Hyperlink"/>
            <w:rFonts w:ascii="Calibri" w:hAnsi="Calibri" w:cs="Calibri"/>
            <w:sz w:val="22"/>
            <w:szCs w:val="22"/>
            <w:lang w:val="en-US"/>
          </w:rPr>
          <w:t>[CrossRef]</w:t>
        </w:r>
      </w:hyperlink>
      <w:r w:rsidR="0028437E" w:rsidRPr="009B0F6E">
        <w:rPr>
          <w:rFonts w:ascii="Calibri" w:hAnsi="Calibri" w:cs="Calibri"/>
          <w:sz w:val="22"/>
          <w:szCs w:val="22"/>
          <w:lang w:val="en-US"/>
        </w:rPr>
        <w:t xml:space="preserve"> </w:t>
      </w:r>
      <w:hyperlink r:id="rId196" w:history="1">
        <w:r w:rsidR="000C6287" w:rsidRPr="009B0F6E">
          <w:rPr>
            <w:rStyle w:val="Hyperlink"/>
            <w:rFonts w:ascii="Calibri" w:hAnsi="Calibri" w:cs="Calibri"/>
            <w:sz w:val="22"/>
            <w:szCs w:val="22"/>
            <w:lang w:val="en-US"/>
          </w:rPr>
          <w:t>[PubMed]</w:t>
        </w:r>
      </w:hyperlink>
    </w:p>
    <w:p w14:paraId="2D3F7DF3" w14:textId="77777777" w:rsidR="00BF2B59" w:rsidRPr="009B0F6E" w:rsidRDefault="00BF2B59" w:rsidP="00BF2B59">
      <w:pPr>
        <w:rPr>
          <w:rFonts w:ascii="Calibri" w:hAnsi="Calibri" w:cs="Calibri"/>
          <w:b/>
          <w:bCs/>
          <w:sz w:val="22"/>
          <w:szCs w:val="22"/>
        </w:rPr>
      </w:pPr>
    </w:p>
    <w:p w14:paraId="097BD384" w14:textId="72C165A2" w:rsidR="00230F4F" w:rsidRPr="009B0F6E" w:rsidRDefault="00BF2B59" w:rsidP="001E0E29">
      <w:pPr>
        <w:rPr>
          <w:rFonts w:ascii="Calibri" w:hAnsi="Calibri" w:cs="Calibri"/>
          <w:b/>
          <w:bCs/>
          <w:sz w:val="22"/>
          <w:szCs w:val="22"/>
        </w:rPr>
      </w:pPr>
      <w:r w:rsidRPr="009B0F6E">
        <w:rPr>
          <w:rFonts w:ascii="Calibri" w:hAnsi="Calibri" w:cs="Calibri"/>
          <w:b/>
          <w:bCs/>
          <w:sz w:val="22"/>
          <w:szCs w:val="22"/>
        </w:rPr>
        <w:t>Figure legend</w:t>
      </w:r>
    </w:p>
    <w:p w14:paraId="0064DD3C" w14:textId="77777777" w:rsidR="00BF2B59" w:rsidRPr="009B0F6E" w:rsidRDefault="00BF2B59" w:rsidP="001E0E29">
      <w:pPr>
        <w:rPr>
          <w:rFonts w:ascii="Calibri" w:hAnsi="Calibri" w:cs="Calibri"/>
          <w:sz w:val="22"/>
          <w:szCs w:val="22"/>
        </w:rPr>
      </w:pPr>
    </w:p>
    <w:p w14:paraId="2E8B0401" w14:textId="2063A13E" w:rsidR="00BF2B59" w:rsidRPr="009B0F6E" w:rsidRDefault="00BF2B59" w:rsidP="003A7AD9">
      <w:pPr>
        <w:widowControl w:val="0"/>
        <w:jc w:val="both"/>
        <w:rPr>
          <w:rFonts w:ascii="Calibri" w:hAnsi="Calibri" w:cs="Calibri"/>
          <w:b/>
          <w:bCs/>
          <w:sz w:val="22"/>
          <w:szCs w:val="22"/>
          <w:lang w:eastAsia="it-IT"/>
        </w:rPr>
      </w:pPr>
      <w:r w:rsidRPr="009B0F6E">
        <w:rPr>
          <w:rFonts w:ascii="Calibri" w:hAnsi="Calibri" w:cs="Calibri"/>
          <w:b/>
          <w:bCs/>
          <w:sz w:val="22"/>
          <w:szCs w:val="22"/>
          <w:lang w:eastAsia="it-IT"/>
        </w:rPr>
        <w:t>Figure 1.</w:t>
      </w:r>
      <w:r w:rsidR="00BC17F0" w:rsidRPr="009B0F6E">
        <w:rPr>
          <w:rFonts w:ascii="Calibri" w:hAnsi="Calibri" w:cs="Calibri"/>
          <w:b/>
          <w:bCs/>
          <w:sz w:val="22"/>
          <w:szCs w:val="22"/>
          <w:lang w:eastAsia="it-IT"/>
        </w:rPr>
        <w:t xml:space="preserve"> </w:t>
      </w:r>
      <w:r w:rsidR="00BC17F0" w:rsidRPr="009B0F6E">
        <w:rPr>
          <w:rFonts w:ascii="Calibri" w:hAnsi="Calibri" w:cs="Calibri"/>
          <w:bCs/>
          <w:sz w:val="22"/>
          <w:szCs w:val="22"/>
        </w:rPr>
        <w:t>Proposed decision-making algorithm for left atrial appendage closure</w:t>
      </w:r>
      <w:r w:rsidR="00BC17F0" w:rsidRPr="009B0F6E">
        <w:rPr>
          <w:rFonts w:ascii="Calibri" w:hAnsi="Calibri" w:cs="Calibri"/>
          <w:sz w:val="22"/>
          <w:szCs w:val="22"/>
        </w:rPr>
        <w:t>.</w:t>
      </w:r>
      <w:r w:rsidR="009B0F6E">
        <w:rPr>
          <w:rFonts w:ascii="Calibri" w:hAnsi="Calibri" w:cs="Calibri"/>
          <w:sz w:val="22"/>
          <w:szCs w:val="22"/>
        </w:rPr>
        <w:t xml:space="preserve"> </w:t>
      </w:r>
      <w:r w:rsidR="00BC17F0" w:rsidRPr="009B0F6E">
        <w:rPr>
          <w:rFonts w:ascii="Calibri" w:hAnsi="Calibri" w:cs="Calibri"/>
          <w:sz w:val="22"/>
          <w:szCs w:val="22"/>
        </w:rPr>
        <w:t>The figure summarizes the clinical pathway for considering surgical or percutaneous left atrial appendage closure in patients with absolute contraindications to long-term oral anticoagulation or very high/recurrent bleeding risk despite oral anticoagulation.</w:t>
      </w:r>
    </w:p>
    <w:p w14:paraId="26256D16" w14:textId="77777777" w:rsidR="00BF2B59" w:rsidRPr="009B0F6E" w:rsidRDefault="00BF2B59" w:rsidP="003A7AD9">
      <w:pPr>
        <w:widowControl w:val="0"/>
        <w:jc w:val="both"/>
        <w:rPr>
          <w:rFonts w:ascii="Calibri" w:hAnsi="Calibri" w:cs="Calibri"/>
          <w:b/>
          <w:bCs/>
          <w:sz w:val="22"/>
          <w:szCs w:val="22"/>
          <w:lang w:eastAsia="it-IT"/>
        </w:rPr>
        <w:sectPr w:rsidR="00BF2B59" w:rsidRPr="009B0F6E" w:rsidSect="003E17F8">
          <w:pgSz w:w="11900" w:h="16840"/>
          <w:pgMar w:top="1440" w:right="1440" w:bottom="1440" w:left="1440" w:header="708" w:footer="708" w:gutter="0"/>
          <w:cols w:space="720"/>
          <w:docGrid w:linePitch="326"/>
        </w:sectPr>
      </w:pPr>
    </w:p>
    <w:p w14:paraId="07379951" w14:textId="39F7E826" w:rsidR="00034C89" w:rsidRPr="009B0F6E" w:rsidRDefault="00034C89" w:rsidP="003A7AD9">
      <w:pPr>
        <w:widowControl w:val="0"/>
        <w:jc w:val="both"/>
        <w:rPr>
          <w:rFonts w:ascii="Calibri" w:hAnsi="Calibri" w:cs="Calibri"/>
          <w:sz w:val="22"/>
          <w:szCs w:val="22"/>
        </w:rPr>
      </w:pPr>
      <w:r w:rsidRPr="009B0F6E">
        <w:rPr>
          <w:rFonts w:ascii="Calibri" w:hAnsi="Calibri" w:cs="Calibri"/>
          <w:b/>
          <w:bCs/>
          <w:sz w:val="22"/>
          <w:szCs w:val="22"/>
          <w:lang w:eastAsia="it-IT"/>
        </w:rPr>
        <w:t>Table 1.</w:t>
      </w:r>
      <w:r w:rsidRPr="001E0E29">
        <w:rPr>
          <w:rFonts w:ascii="Calibri" w:hAnsi="Calibri" w:cs="Calibri"/>
          <w:bCs/>
          <w:sz w:val="22"/>
          <w:szCs w:val="22"/>
          <w:lang w:eastAsia="it-IT"/>
        </w:rPr>
        <w:t xml:space="preserve"> Timeline of </w:t>
      </w:r>
      <w:r w:rsidR="005C1B38" w:rsidRPr="009B0F6E">
        <w:rPr>
          <w:rFonts w:ascii="Calibri" w:hAnsi="Calibri" w:cs="Calibri"/>
          <w:bCs/>
          <w:sz w:val="22"/>
          <w:szCs w:val="22"/>
          <w:lang w:eastAsia="it-IT"/>
        </w:rPr>
        <w:t>C</w:t>
      </w:r>
      <w:r w:rsidRPr="001E0E29">
        <w:rPr>
          <w:rFonts w:ascii="Calibri" w:hAnsi="Calibri" w:cs="Calibri"/>
          <w:bCs/>
          <w:sz w:val="22"/>
          <w:szCs w:val="22"/>
          <w:lang w:eastAsia="it-IT"/>
        </w:rPr>
        <w:t xml:space="preserve">ompleted and </w:t>
      </w:r>
      <w:r w:rsidR="005C1B38" w:rsidRPr="009B0F6E">
        <w:rPr>
          <w:rFonts w:ascii="Calibri" w:hAnsi="Calibri" w:cs="Calibri"/>
          <w:bCs/>
          <w:sz w:val="22"/>
          <w:szCs w:val="22"/>
          <w:lang w:eastAsia="it-IT"/>
        </w:rPr>
        <w:t>O</w:t>
      </w:r>
      <w:r w:rsidRPr="001E0E29">
        <w:rPr>
          <w:rFonts w:ascii="Calibri" w:hAnsi="Calibri" w:cs="Calibri"/>
          <w:bCs/>
          <w:sz w:val="22"/>
          <w:szCs w:val="22"/>
          <w:lang w:eastAsia="it-IT"/>
        </w:rPr>
        <w:t xml:space="preserve">ngoing RCTs and </w:t>
      </w:r>
      <w:r w:rsidR="005C1B38" w:rsidRPr="009B0F6E">
        <w:rPr>
          <w:rFonts w:ascii="Calibri" w:hAnsi="Calibri" w:cs="Calibri"/>
          <w:bCs/>
          <w:sz w:val="22"/>
          <w:szCs w:val="22"/>
          <w:lang w:eastAsia="it-IT"/>
        </w:rPr>
        <w:t>O</w:t>
      </w:r>
      <w:r w:rsidRPr="001E0E29">
        <w:rPr>
          <w:rFonts w:ascii="Calibri" w:hAnsi="Calibri" w:cs="Calibri"/>
          <w:bCs/>
          <w:sz w:val="22"/>
          <w:szCs w:val="22"/>
          <w:lang w:eastAsia="it-IT"/>
        </w:rPr>
        <w:t xml:space="preserve">bservational </w:t>
      </w:r>
      <w:r w:rsidR="005C1B38" w:rsidRPr="009B0F6E">
        <w:rPr>
          <w:rFonts w:ascii="Calibri" w:hAnsi="Calibri" w:cs="Calibri"/>
          <w:bCs/>
          <w:sz w:val="22"/>
          <w:szCs w:val="22"/>
          <w:lang w:eastAsia="it-IT"/>
        </w:rPr>
        <w:t>R</w:t>
      </w:r>
      <w:r w:rsidRPr="001E0E29">
        <w:rPr>
          <w:rFonts w:ascii="Calibri" w:hAnsi="Calibri" w:cs="Calibri"/>
          <w:bCs/>
          <w:sz w:val="22"/>
          <w:szCs w:val="22"/>
          <w:lang w:eastAsia="it-IT"/>
        </w:rPr>
        <w:t xml:space="preserve">egistry </w:t>
      </w:r>
      <w:r w:rsidR="005C1B38" w:rsidRPr="009B0F6E">
        <w:rPr>
          <w:rFonts w:ascii="Calibri" w:hAnsi="Calibri" w:cs="Calibri"/>
          <w:bCs/>
          <w:sz w:val="22"/>
          <w:szCs w:val="22"/>
          <w:lang w:eastAsia="it-IT"/>
        </w:rPr>
        <w:t>E</w:t>
      </w:r>
      <w:r w:rsidRPr="001E0E29">
        <w:rPr>
          <w:rFonts w:ascii="Calibri" w:hAnsi="Calibri" w:cs="Calibri"/>
          <w:bCs/>
          <w:sz w:val="22"/>
          <w:szCs w:val="22"/>
          <w:lang w:eastAsia="it-IT"/>
        </w:rPr>
        <w:t xml:space="preserve">vidence for </w:t>
      </w:r>
      <w:r w:rsidR="005C1B38" w:rsidRPr="009B0F6E">
        <w:rPr>
          <w:rFonts w:ascii="Calibri" w:hAnsi="Calibri" w:cs="Calibri"/>
          <w:bCs/>
          <w:sz w:val="22"/>
          <w:szCs w:val="22"/>
          <w:lang w:eastAsia="it-IT"/>
        </w:rPr>
        <w:t>S</w:t>
      </w:r>
      <w:r w:rsidRPr="001E0E29">
        <w:rPr>
          <w:rFonts w:ascii="Calibri" w:hAnsi="Calibri" w:cs="Calibri"/>
          <w:bCs/>
          <w:sz w:val="22"/>
          <w:szCs w:val="22"/>
          <w:lang w:eastAsia="it-IT"/>
        </w:rPr>
        <w:t xml:space="preserve">urgical and </w:t>
      </w:r>
      <w:r w:rsidR="005C1B38" w:rsidRPr="009B0F6E">
        <w:rPr>
          <w:rFonts w:ascii="Calibri" w:hAnsi="Calibri" w:cs="Calibri"/>
          <w:bCs/>
          <w:sz w:val="22"/>
          <w:szCs w:val="22"/>
          <w:lang w:eastAsia="it-IT"/>
        </w:rPr>
        <w:t>P</w:t>
      </w:r>
      <w:r w:rsidRPr="001E0E29">
        <w:rPr>
          <w:rFonts w:ascii="Calibri" w:hAnsi="Calibri" w:cs="Calibri"/>
          <w:bCs/>
          <w:sz w:val="22"/>
          <w:szCs w:val="22"/>
          <w:lang w:eastAsia="it-IT"/>
        </w:rPr>
        <w:t xml:space="preserve">ercutaneous LAAC </w:t>
      </w:r>
      <w:r w:rsidR="005C1B38" w:rsidRPr="009B0F6E">
        <w:rPr>
          <w:rFonts w:ascii="Calibri" w:hAnsi="Calibri" w:cs="Calibri"/>
          <w:bCs/>
          <w:sz w:val="22"/>
          <w:szCs w:val="22"/>
          <w:lang w:eastAsia="it-IT"/>
        </w:rPr>
        <w:t>P</w:t>
      </w:r>
      <w:r w:rsidRPr="001E0E29">
        <w:rPr>
          <w:rFonts w:ascii="Calibri" w:hAnsi="Calibri" w:cs="Calibri"/>
          <w:bCs/>
          <w:sz w:val="22"/>
          <w:szCs w:val="22"/>
          <w:lang w:eastAsia="it-IT"/>
        </w:rPr>
        <w:t xml:space="preserve">ublished </w:t>
      </w:r>
      <w:r w:rsidR="005C1B38" w:rsidRPr="009B0F6E">
        <w:rPr>
          <w:rFonts w:ascii="Calibri" w:hAnsi="Calibri" w:cs="Calibri"/>
          <w:bCs/>
          <w:sz w:val="22"/>
          <w:szCs w:val="22"/>
          <w:lang w:eastAsia="it-IT"/>
        </w:rPr>
        <w:t>O</w:t>
      </w:r>
      <w:r w:rsidRPr="001E0E29">
        <w:rPr>
          <w:rFonts w:ascii="Calibri" w:hAnsi="Calibri" w:cs="Calibri"/>
          <w:bCs/>
          <w:sz w:val="22"/>
          <w:szCs w:val="22"/>
          <w:lang w:eastAsia="it-IT"/>
        </w:rPr>
        <w:t xml:space="preserve">ver the </w:t>
      </w:r>
      <w:r w:rsidR="005C1B38" w:rsidRPr="009B0F6E">
        <w:rPr>
          <w:rFonts w:ascii="Calibri" w:hAnsi="Calibri" w:cs="Calibri"/>
          <w:bCs/>
          <w:sz w:val="22"/>
          <w:szCs w:val="22"/>
          <w:lang w:eastAsia="it-IT"/>
        </w:rPr>
        <w:t>L</w:t>
      </w:r>
      <w:r w:rsidRPr="001E0E29">
        <w:rPr>
          <w:rFonts w:ascii="Calibri" w:hAnsi="Calibri" w:cs="Calibri"/>
          <w:bCs/>
          <w:sz w:val="22"/>
          <w:szCs w:val="22"/>
          <w:lang w:eastAsia="it-IT"/>
        </w:rPr>
        <w:t xml:space="preserve">ast 20 </w:t>
      </w:r>
      <w:r w:rsidR="005C1B38" w:rsidRPr="009B0F6E">
        <w:rPr>
          <w:rFonts w:ascii="Calibri" w:hAnsi="Calibri" w:cs="Calibri"/>
          <w:bCs/>
          <w:sz w:val="22"/>
          <w:szCs w:val="22"/>
          <w:lang w:eastAsia="it-IT"/>
        </w:rPr>
        <w:t>Y</w:t>
      </w:r>
      <w:r w:rsidRPr="001E0E29">
        <w:rPr>
          <w:rFonts w:ascii="Calibri" w:hAnsi="Calibri" w:cs="Calibri"/>
          <w:bCs/>
          <w:sz w:val="22"/>
          <w:szCs w:val="22"/>
          <w:lang w:eastAsia="it-IT"/>
        </w:rPr>
        <w:t>ears</w:t>
      </w:r>
    </w:p>
    <w:tbl>
      <w:tblPr>
        <w:tblW w:w="0" w:type="auto"/>
        <w:tblBorders>
          <w:top w:val="single" w:sz="4" w:space="0" w:color="auto"/>
          <w:left w:val="single" w:sz="4" w:space="0" w:color="auto"/>
          <w:bottom w:val="single" w:sz="4" w:space="0" w:color="auto"/>
          <w:right w:val="single" w:sz="4" w:space="0" w:color="auto"/>
        </w:tblBorders>
        <w:shd w:val="pct15" w:color="auto" w:fill="auto"/>
        <w:tblCellMar>
          <w:left w:w="70" w:type="dxa"/>
          <w:right w:w="70" w:type="dxa"/>
        </w:tblCellMar>
        <w:tblLook w:val="04A0" w:firstRow="1" w:lastRow="0" w:firstColumn="1" w:lastColumn="0" w:noHBand="0" w:noVBand="1"/>
      </w:tblPr>
      <w:tblGrid>
        <w:gridCol w:w="1299"/>
        <w:gridCol w:w="2244"/>
        <w:gridCol w:w="7507"/>
        <w:gridCol w:w="4531"/>
      </w:tblGrid>
      <w:tr w:rsidR="00034C89" w:rsidRPr="009B0F6E" w14:paraId="19859FA5" w14:textId="77777777" w:rsidTr="001E0E29">
        <w:trPr>
          <w:trHeight w:val="460"/>
        </w:trPr>
        <w:tc>
          <w:tcPr>
            <w:tcW w:w="0" w:type="auto"/>
            <w:tcBorders>
              <w:top w:val="single" w:sz="4" w:space="0" w:color="auto"/>
              <w:bottom w:val="single" w:sz="4" w:space="0" w:color="auto"/>
              <w:right w:val="single" w:sz="4" w:space="0" w:color="auto"/>
            </w:tcBorders>
            <w:shd w:val="clear" w:color="auto" w:fill="538DD5"/>
            <w:noWrap/>
            <w:vAlign w:val="center"/>
            <w:hideMark/>
          </w:tcPr>
          <w:p w14:paraId="7B017723"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Year</w:t>
            </w:r>
          </w:p>
        </w:tc>
        <w:tc>
          <w:tcPr>
            <w:tcW w:w="0" w:type="auto"/>
            <w:tcBorders>
              <w:top w:val="single" w:sz="4" w:space="0" w:color="auto"/>
              <w:left w:val="single" w:sz="4" w:space="0" w:color="auto"/>
              <w:bottom w:val="single" w:sz="4" w:space="0" w:color="auto"/>
              <w:right w:val="single" w:sz="4" w:space="0" w:color="auto"/>
            </w:tcBorders>
            <w:shd w:val="clear" w:color="auto" w:fill="538DD5"/>
            <w:noWrap/>
            <w:vAlign w:val="center"/>
            <w:hideMark/>
          </w:tcPr>
          <w:p w14:paraId="02447B32"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Study Name</w:t>
            </w:r>
          </w:p>
        </w:tc>
        <w:tc>
          <w:tcPr>
            <w:tcW w:w="0" w:type="auto"/>
            <w:tcBorders>
              <w:top w:val="single" w:sz="4" w:space="0" w:color="auto"/>
              <w:left w:val="single" w:sz="4" w:space="0" w:color="auto"/>
              <w:bottom w:val="single" w:sz="4" w:space="0" w:color="auto"/>
              <w:right w:val="single" w:sz="4" w:space="0" w:color="auto"/>
            </w:tcBorders>
            <w:shd w:val="clear" w:color="auto" w:fill="538DD5"/>
            <w:noWrap/>
            <w:vAlign w:val="center"/>
            <w:hideMark/>
          </w:tcPr>
          <w:p w14:paraId="1836DBD9"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Endpoint</w:t>
            </w:r>
          </w:p>
        </w:tc>
        <w:tc>
          <w:tcPr>
            <w:tcW w:w="0" w:type="auto"/>
            <w:tcBorders>
              <w:top w:val="single" w:sz="4" w:space="0" w:color="auto"/>
              <w:left w:val="single" w:sz="4" w:space="0" w:color="auto"/>
              <w:bottom w:val="single" w:sz="4" w:space="0" w:color="auto"/>
            </w:tcBorders>
            <w:shd w:val="clear" w:color="auto" w:fill="538DD5"/>
            <w:noWrap/>
            <w:vAlign w:val="center"/>
            <w:hideMark/>
          </w:tcPr>
          <w:p w14:paraId="0B9CCD88"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Device</w:t>
            </w:r>
          </w:p>
        </w:tc>
      </w:tr>
      <w:tr w:rsidR="00034C89" w:rsidRPr="009B0F6E" w14:paraId="6A7A380E" w14:textId="77777777" w:rsidTr="001E0E29">
        <w:trPr>
          <w:trHeight w:val="460"/>
        </w:trPr>
        <w:tc>
          <w:tcPr>
            <w:tcW w:w="0" w:type="auto"/>
            <w:tcBorders>
              <w:top w:val="single" w:sz="4" w:space="0" w:color="auto"/>
              <w:bottom w:val="single" w:sz="4" w:space="0" w:color="auto"/>
              <w:right w:val="single" w:sz="4" w:space="0" w:color="auto"/>
            </w:tcBorders>
            <w:shd w:val="clear" w:color="auto" w:fill="FFFFFF" w:themeFill="background1"/>
            <w:noWrap/>
            <w:vAlign w:val="center"/>
            <w:hideMark/>
          </w:tcPr>
          <w:p w14:paraId="364A2A20"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2003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3ED568"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LAAOS 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8DD112"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Investigated surgical LAA closure feasibility during CABG</w:t>
            </w:r>
          </w:p>
        </w:tc>
        <w:tc>
          <w:tcPr>
            <w:tcW w:w="0" w:type="auto"/>
            <w:tcBorders>
              <w:top w:val="single" w:sz="4" w:space="0" w:color="auto"/>
              <w:left w:val="single" w:sz="4" w:space="0" w:color="auto"/>
              <w:bottom w:val="single" w:sz="4" w:space="0" w:color="auto"/>
            </w:tcBorders>
            <w:shd w:val="clear" w:color="auto" w:fill="FFFFFF" w:themeFill="background1"/>
            <w:noWrap/>
            <w:vAlign w:val="center"/>
            <w:hideMark/>
          </w:tcPr>
          <w:p w14:paraId="329A74A9"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w:t>
            </w:r>
          </w:p>
        </w:tc>
      </w:tr>
      <w:tr w:rsidR="00034C89" w:rsidRPr="009B0F6E" w14:paraId="1F17D2E1" w14:textId="77777777" w:rsidTr="001E0E29">
        <w:trPr>
          <w:trHeight w:val="460"/>
        </w:trPr>
        <w:tc>
          <w:tcPr>
            <w:tcW w:w="0" w:type="auto"/>
            <w:tcBorders>
              <w:top w:val="single" w:sz="4" w:space="0" w:color="auto"/>
              <w:bottom w:val="single" w:sz="4" w:space="0" w:color="auto"/>
              <w:right w:val="single" w:sz="4" w:space="0" w:color="auto"/>
            </w:tcBorders>
            <w:shd w:val="clear" w:color="auto" w:fill="FFFFFF" w:themeFill="background1"/>
            <w:noWrap/>
            <w:vAlign w:val="center"/>
          </w:tcPr>
          <w:p w14:paraId="6DC567EB"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2009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930A5B8"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PLAATO study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A526DB7"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Evaluated percutaneous LAA occlusion feasibility in AF patients unsuitable for OAC</w:t>
            </w:r>
          </w:p>
        </w:tc>
        <w:tc>
          <w:tcPr>
            <w:tcW w:w="0" w:type="auto"/>
            <w:tcBorders>
              <w:top w:val="single" w:sz="4" w:space="0" w:color="auto"/>
              <w:left w:val="single" w:sz="4" w:space="0" w:color="auto"/>
              <w:bottom w:val="single" w:sz="4" w:space="0" w:color="auto"/>
            </w:tcBorders>
            <w:shd w:val="clear" w:color="auto" w:fill="FFFFFF" w:themeFill="background1"/>
            <w:noWrap/>
            <w:vAlign w:val="center"/>
          </w:tcPr>
          <w:p w14:paraId="7747F891"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PLAATO device (discontinued)</w:t>
            </w:r>
          </w:p>
        </w:tc>
      </w:tr>
      <w:tr w:rsidR="00034C89" w:rsidRPr="009B0F6E" w14:paraId="7E631674" w14:textId="77777777" w:rsidTr="001E0E29">
        <w:trPr>
          <w:trHeight w:val="460"/>
        </w:trPr>
        <w:tc>
          <w:tcPr>
            <w:tcW w:w="0" w:type="auto"/>
            <w:tcBorders>
              <w:top w:val="single" w:sz="4" w:space="0" w:color="auto"/>
              <w:bottom w:val="single" w:sz="4" w:space="0" w:color="auto"/>
              <w:right w:val="single" w:sz="4" w:space="0" w:color="auto"/>
            </w:tcBorders>
            <w:shd w:val="clear" w:color="auto" w:fill="FFFFFF" w:themeFill="background1"/>
            <w:noWrap/>
            <w:vAlign w:val="center"/>
            <w:hideMark/>
          </w:tcPr>
          <w:p w14:paraId="7001D37C"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2009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1B1C68"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PROTECT-AF</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1D8C09"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Compared LAAC to warfarin in NVAF</w:t>
            </w:r>
          </w:p>
        </w:tc>
        <w:tc>
          <w:tcPr>
            <w:tcW w:w="0" w:type="auto"/>
            <w:tcBorders>
              <w:top w:val="single" w:sz="4" w:space="0" w:color="auto"/>
              <w:left w:val="single" w:sz="4" w:space="0" w:color="auto"/>
              <w:bottom w:val="single" w:sz="4" w:space="0" w:color="auto"/>
            </w:tcBorders>
            <w:shd w:val="clear" w:color="auto" w:fill="FFFFFF" w:themeFill="background1"/>
            <w:noWrap/>
            <w:vAlign w:val="center"/>
            <w:hideMark/>
          </w:tcPr>
          <w:p w14:paraId="00920F56"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Watchman 2.5</w:t>
            </w:r>
          </w:p>
        </w:tc>
      </w:tr>
      <w:tr w:rsidR="00034C89" w:rsidRPr="009B0F6E" w14:paraId="7D0FC1AB" w14:textId="77777777" w:rsidTr="001E0E29">
        <w:trPr>
          <w:trHeight w:val="460"/>
        </w:trPr>
        <w:tc>
          <w:tcPr>
            <w:tcW w:w="0" w:type="auto"/>
            <w:tcBorders>
              <w:top w:val="single" w:sz="4" w:space="0" w:color="auto"/>
              <w:bottom w:val="single" w:sz="4" w:space="0" w:color="auto"/>
              <w:right w:val="single" w:sz="4" w:space="0" w:color="auto"/>
            </w:tcBorders>
            <w:shd w:val="clear" w:color="auto" w:fill="FFFFFF" w:themeFill="background1"/>
            <w:noWrap/>
            <w:vAlign w:val="center"/>
            <w:hideMark/>
          </w:tcPr>
          <w:p w14:paraId="3A615388"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2013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CE634B"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LAAOS II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C41AC1"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Surgical closure safety in cardiac surgery patients</w:t>
            </w:r>
          </w:p>
        </w:tc>
        <w:tc>
          <w:tcPr>
            <w:tcW w:w="0" w:type="auto"/>
            <w:tcBorders>
              <w:top w:val="single" w:sz="4" w:space="0" w:color="auto"/>
              <w:left w:val="single" w:sz="4" w:space="0" w:color="auto"/>
              <w:bottom w:val="single" w:sz="4" w:space="0" w:color="auto"/>
            </w:tcBorders>
            <w:shd w:val="clear" w:color="auto" w:fill="FFFFFF" w:themeFill="background1"/>
            <w:noWrap/>
            <w:vAlign w:val="center"/>
            <w:hideMark/>
          </w:tcPr>
          <w:p w14:paraId="3842FDCF"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w:t>
            </w:r>
          </w:p>
        </w:tc>
      </w:tr>
      <w:tr w:rsidR="00034C89" w:rsidRPr="009B0F6E" w14:paraId="25998D80" w14:textId="77777777" w:rsidTr="001E0E29">
        <w:trPr>
          <w:trHeight w:val="460"/>
        </w:trPr>
        <w:tc>
          <w:tcPr>
            <w:tcW w:w="0" w:type="auto"/>
            <w:tcBorders>
              <w:top w:val="single" w:sz="4" w:space="0" w:color="auto"/>
              <w:bottom w:val="single" w:sz="4" w:space="0" w:color="auto"/>
              <w:right w:val="single" w:sz="4" w:space="0" w:color="auto"/>
            </w:tcBorders>
            <w:shd w:val="clear" w:color="auto" w:fill="FFFFFF" w:themeFill="background1"/>
            <w:noWrap/>
            <w:vAlign w:val="center"/>
            <w:hideMark/>
          </w:tcPr>
          <w:p w14:paraId="6085BB4C"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2014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6F4E52"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PREVAIL</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1C4EFF"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Validated Watchman vs warfarin with procedural refinements</w:t>
            </w:r>
          </w:p>
        </w:tc>
        <w:tc>
          <w:tcPr>
            <w:tcW w:w="0" w:type="auto"/>
            <w:tcBorders>
              <w:top w:val="single" w:sz="4" w:space="0" w:color="auto"/>
              <w:left w:val="single" w:sz="4" w:space="0" w:color="auto"/>
              <w:bottom w:val="single" w:sz="4" w:space="0" w:color="auto"/>
            </w:tcBorders>
            <w:shd w:val="clear" w:color="auto" w:fill="FFFFFF" w:themeFill="background1"/>
            <w:noWrap/>
            <w:vAlign w:val="center"/>
            <w:hideMark/>
          </w:tcPr>
          <w:p w14:paraId="4B0F50BF"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Watchman 2.5</w:t>
            </w:r>
          </w:p>
        </w:tc>
      </w:tr>
      <w:tr w:rsidR="00034C89" w:rsidRPr="009B0F6E" w14:paraId="0B777D5F" w14:textId="77777777" w:rsidTr="001E0E29">
        <w:trPr>
          <w:trHeight w:val="460"/>
        </w:trPr>
        <w:tc>
          <w:tcPr>
            <w:tcW w:w="0" w:type="auto"/>
            <w:tcBorders>
              <w:top w:val="single" w:sz="4" w:space="0" w:color="auto"/>
              <w:bottom w:val="single" w:sz="4" w:space="0" w:color="auto"/>
              <w:right w:val="single" w:sz="4" w:space="0" w:color="auto"/>
            </w:tcBorders>
            <w:shd w:val="clear" w:color="auto" w:fill="FFFFFF" w:themeFill="background1"/>
            <w:noWrap/>
            <w:vAlign w:val="center"/>
            <w:hideMark/>
          </w:tcPr>
          <w:p w14:paraId="0ED62060"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2015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A4B12E"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EWOLUTION Registry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2E154B"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Registry-based evaluation of Watchman in routine care</w:t>
            </w:r>
          </w:p>
        </w:tc>
        <w:tc>
          <w:tcPr>
            <w:tcW w:w="0" w:type="auto"/>
            <w:tcBorders>
              <w:top w:val="single" w:sz="4" w:space="0" w:color="auto"/>
              <w:left w:val="single" w:sz="4" w:space="0" w:color="auto"/>
              <w:bottom w:val="single" w:sz="4" w:space="0" w:color="auto"/>
            </w:tcBorders>
            <w:shd w:val="clear" w:color="auto" w:fill="FFFFFF" w:themeFill="background1"/>
            <w:noWrap/>
            <w:vAlign w:val="center"/>
            <w:hideMark/>
          </w:tcPr>
          <w:p w14:paraId="46F3A115"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Watchman 2.5</w:t>
            </w:r>
          </w:p>
        </w:tc>
      </w:tr>
      <w:tr w:rsidR="00034C89" w:rsidRPr="009B0F6E" w14:paraId="3432CB25" w14:textId="77777777" w:rsidTr="001E0E29">
        <w:trPr>
          <w:trHeight w:val="460"/>
        </w:trPr>
        <w:tc>
          <w:tcPr>
            <w:tcW w:w="0" w:type="auto"/>
            <w:tcBorders>
              <w:top w:val="single" w:sz="4" w:space="0" w:color="auto"/>
              <w:bottom w:val="single" w:sz="4" w:space="0" w:color="auto"/>
              <w:right w:val="single" w:sz="4" w:space="0" w:color="auto"/>
            </w:tcBorders>
            <w:shd w:val="clear" w:color="auto" w:fill="FFFFFF" w:themeFill="background1"/>
            <w:noWrap/>
            <w:vAlign w:val="center"/>
            <w:hideMark/>
          </w:tcPr>
          <w:p w14:paraId="021157B8"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2018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5ED5C7"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Global Amulet Registry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3C2C61"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Evaluated procedural success with Amulet in practice</w:t>
            </w:r>
          </w:p>
        </w:tc>
        <w:tc>
          <w:tcPr>
            <w:tcW w:w="0" w:type="auto"/>
            <w:tcBorders>
              <w:top w:val="single" w:sz="4" w:space="0" w:color="auto"/>
              <w:left w:val="single" w:sz="4" w:space="0" w:color="auto"/>
              <w:bottom w:val="single" w:sz="4" w:space="0" w:color="auto"/>
            </w:tcBorders>
            <w:shd w:val="clear" w:color="auto" w:fill="FFFFFF" w:themeFill="background1"/>
            <w:noWrap/>
            <w:vAlign w:val="center"/>
            <w:hideMark/>
          </w:tcPr>
          <w:p w14:paraId="6A7F642C"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Amulet</w:t>
            </w:r>
          </w:p>
        </w:tc>
      </w:tr>
      <w:tr w:rsidR="00034C89" w:rsidRPr="009B0F6E" w14:paraId="166A9BB4" w14:textId="77777777" w:rsidTr="001E0E29">
        <w:trPr>
          <w:trHeight w:val="460"/>
        </w:trPr>
        <w:tc>
          <w:tcPr>
            <w:tcW w:w="0" w:type="auto"/>
            <w:tcBorders>
              <w:top w:val="single" w:sz="4" w:space="0" w:color="auto"/>
              <w:bottom w:val="single" w:sz="4" w:space="0" w:color="auto"/>
              <w:right w:val="single" w:sz="4" w:space="0" w:color="auto"/>
            </w:tcBorders>
            <w:shd w:val="clear" w:color="auto" w:fill="FFFFFF" w:themeFill="background1"/>
            <w:noWrap/>
            <w:vAlign w:val="center"/>
            <w:hideMark/>
          </w:tcPr>
          <w:p w14:paraId="1BA81825"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2019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B304C8"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CAP and CAP2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CB2F1E"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 xml:space="preserve">Long-term analysis post-PROTECT-AF and PREVAIL trial </w:t>
            </w:r>
          </w:p>
        </w:tc>
        <w:tc>
          <w:tcPr>
            <w:tcW w:w="0" w:type="auto"/>
            <w:tcBorders>
              <w:top w:val="single" w:sz="4" w:space="0" w:color="auto"/>
              <w:left w:val="single" w:sz="4" w:space="0" w:color="auto"/>
              <w:bottom w:val="single" w:sz="4" w:space="0" w:color="auto"/>
            </w:tcBorders>
            <w:shd w:val="clear" w:color="auto" w:fill="FFFFFF" w:themeFill="background1"/>
            <w:noWrap/>
            <w:vAlign w:val="center"/>
            <w:hideMark/>
          </w:tcPr>
          <w:p w14:paraId="6DDB7028"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Watchman 2.5</w:t>
            </w:r>
          </w:p>
        </w:tc>
      </w:tr>
      <w:tr w:rsidR="00034C89" w:rsidRPr="009B0F6E" w14:paraId="27643E30" w14:textId="77777777" w:rsidTr="001E0E29">
        <w:trPr>
          <w:trHeight w:val="460"/>
        </w:trPr>
        <w:tc>
          <w:tcPr>
            <w:tcW w:w="0" w:type="auto"/>
            <w:tcBorders>
              <w:top w:val="single" w:sz="4" w:space="0" w:color="auto"/>
              <w:bottom w:val="single" w:sz="4" w:space="0" w:color="auto"/>
              <w:right w:val="single" w:sz="4" w:space="0" w:color="auto"/>
            </w:tcBorders>
            <w:shd w:val="clear" w:color="auto" w:fill="FFFFFF" w:themeFill="background1"/>
            <w:noWrap/>
            <w:vAlign w:val="center"/>
            <w:hideMark/>
          </w:tcPr>
          <w:p w14:paraId="12E414E5"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2020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025A20"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PRAGUE-17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485BAA"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Compared LAAC vs DOACs in high-risk NVAF</w:t>
            </w:r>
          </w:p>
        </w:tc>
        <w:tc>
          <w:tcPr>
            <w:tcW w:w="0" w:type="auto"/>
            <w:tcBorders>
              <w:top w:val="single" w:sz="4" w:space="0" w:color="auto"/>
              <w:left w:val="single" w:sz="4" w:space="0" w:color="auto"/>
              <w:bottom w:val="single" w:sz="4" w:space="0" w:color="auto"/>
            </w:tcBorders>
            <w:shd w:val="clear" w:color="auto" w:fill="FFFFFF" w:themeFill="background1"/>
            <w:noWrap/>
            <w:vAlign w:val="center"/>
            <w:hideMark/>
          </w:tcPr>
          <w:p w14:paraId="1EF13AAA"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Watchman 2.5/FLX, Amulet</w:t>
            </w:r>
          </w:p>
        </w:tc>
      </w:tr>
      <w:tr w:rsidR="00034C89" w:rsidRPr="009B0F6E" w14:paraId="34CAE6DD" w14:textId="77777777" w:rsidTr="001E0E29">
        <w:trPr>
          <w:trHeight w:val="460"/>
        </w:trPr>
        <w:tc>
          <w:tcPr>
            <w:tcW w:w="0" w:type="auto"/>
            <w:tcBorders>
              <w:top w:val="single" w:sz="4" w:space="0" w:color="auto"/>
              <w:bottom w:val="single" w:sz="4" w:space="0" w:color="auto"/>
              <w:right w:val="single" w:sz="4" w:space="0" w:color="auto"/>
            </w:tcBorders>
            <w:shd w:val="clear" w:color="auto" w:fill="FFFFFF" w:themeFill="background1"/>
            <w:noWrap/>
            <w:vAlign w:val="center"/>
            <w:hideMark/>
          </w:tcPr>
          <w:p w14:paraId="4BB27447"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2020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23B484"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ASAP Study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D0F4EF"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LAAC outcomes in OAC-ineligible patients</w:t>
            </w:r>
          </w:p>
        </w:tc>
        <w:tc>
          <w:tcPr>
            <w:tcW w:w="0" w:type="auto"/>
            <w:tcBorders>
              <w:top w:val="single" w:sz="4" w:space="0" w:color="auto"/>
              <w:left w:val="single" w:sz="4" w:space="0" w:color="auto"/>
              <w:bottom w:val="single" w:sz="4" w:space="0" w:color="auto"/>
            </w:tcBorders>
            <w:shd w:val="clear" w:color="auto" w:fill="FFFFFF" w:themeFill="background1"/>
            <w:noWrap/>
            <w:vAlign w:val="center"/>
            <w:hideMark/>
          </w:tcPr>
          <w:p w14:paraId="67514B84"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Watchman 2.5</w:t>
            </w:r>
          </w:p>
        </w:tc>
      </w:tr>
      <w:tr w:rsidR="00034C89" w:rsidRPr="009B0F6E" w14:paraId="7798505B" w14:textId="77777777" w:rsidTr="001E0E29">
        <w:trPr>
          <w:trHeight w:val="460"/>
        </w:trPr>
        <w:tc>
          <w:tcPr>
            <w:tcW w:w="0" w:type="auto"/>
            <w:tcBorders>
              <w:top w:val="single" w:sz="4" w:space="0" w:color="auto"/>
              <w:bottom w:val="single" w:sz="4" w:space="0" w:color="auto"/>
              <w:right w:val="single" w:sz="4" w:space="0" w:color="auto"/>
            </w:tcBorders>
            <w:shd w:val="clear" w:color="auto" w:fill="FFFFFF" w:themeFill="background1"/>
            <w:noWrap/>
            <w:vAlign w:val="center"/>
            <w:hideMark/>
          </w:tcPr>
          <w:p w14:paraId="670772F1"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2020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D16C68"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NCDR LAAO Registry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3897FD"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Assessed real-world procedural success and safety</w:t>
            </w:r>
          </w:p>
        </w:tc>
        <w:tc>
          <w:tcPr>
            <w:tcW w:w="0" w:type="auto"/>
            <w:tcBorders>
              <w:top w:val="single" w:sz="4" w:space="0" w:color="auto"/>
              <w:left w:val="single" w:sz="4" w:space="0" w:color="auto"/>
              <w:bottom w:val="single" w:sz="4" w:space="0" w:color="auto"/>
            </w:tcBorders>
            <w:shd w:val="clear" w:color="auto" w:fill="FFFFFF" w:themeFill="background1"/>
            <w:noWrap/>
            <w:vAlign w:val="center"/>
            <w:hideMark/>
          </w:tcPr>
          <w:p w14:paraId="7A2BA650"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Watchman 2.5</w:t>
            </w:r>
          </w:p>
        </w:tc>
      </w:tr>
      <w:tr w:rsidR="00034C89" w:rsidRPr="009B0F6E" w14:paraId="1DF43FE9" w14:textId="77777777" w:rsidTr="001E0E29">
        <w:trPr>
          <w:trHeight w:val="460"/>
        </w:trPr>
        <w:tc>
          <w:tcPr>
            <w:tcW w:w="0" w:type="auto"/>
            <w:tcBorders>
              <w:top w:val="single" w:sz="4" w:space="0" w:color="auto"/>
              <w:bottom w:val="single" w:sz="4" w:space="0" w:color="auto"/>
              <w:right w:val="single" w:sz="4" w:space="0" w:color="auto"/>
            </w:tcBorders>
            <w:shd w:val="clear" w:color="auto" w:fill="FFFFFF" w:themeFill="background1"/>
            <w:noWrap/>
            <w:vAlign w:val="center"/>
            <w:hideMark/>
          </w:tcPr>
          <w:p w14:paraId="294FB8A8"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2021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6BD9C6"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LAAOS III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8E6B7B"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Evaluated stroke prevention with surgical LAA closure</w:t>
            </w:r>
          </w:p>
        </w:tc>
        <w:tc>
          <w:tcPr>
            <w:tcW w:w="0" w:type="auto"/>
            <w:tcBorders>
              <w:top w:val="single" w:sz="4" w:space="0" w:color="auto"/>
              <w:left w:val="single" w:sz="4" w:space="0" w:color="auto"/>
              <w:bottom w:val="single" w:sz="4" w:space="0" w:color="auto"/>
            </w:tcBorders>
            <w:shd w:val="clear" w:color="auto" w:fill="FFFFFF" w:themeFill="background1"/>
            <w:noWrap/>
            <w:vAlign w:val="center"/>
            <w:hideMark/>
          </w:tcPr>
          <w:p w14:paraId="28BE0C8D"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w:t>
            </w:r>
          </w:p>
        </w:tc>
      </w:tr>
      <w:tr w:rsidR="00034C89" w:rsidRPr="009B0F6E" w14:paraId="61F18CBA" w14:textId="77777777" w:rsidTr="001E0E29">
        <w:trPr>
          <w:trHeight w:val="460"/>
        </w:trPr>
        <w:tc>
          <w:tcPr>
            <w:tcW w:w="0" w:type="auto"/>
            <w:tcBorders>
              <w:top w:val="single" w:sz="4" w:space="0" w:color="auto"/>
              <w:bottom w:val="single" w:sz="4" w:space="0" w:color="auto"/>
              <w:right w:val="single" w:sz="4" w:space="0" w:color="auto"/>
            </w:tcBorders>
            <w:shd w:val="clear" w:color="auto" w:fill="FFFFFF" w:themeFill="background1"/>
            <w:noWrap/>
            <w:vAlign w:val="center"/>
            <w:hideMark/>
          </w:tcPr>
          <w:p w14:paraId="3E449A72"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2021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E5E838"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Amulet IDE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0AA042"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Compared Amulet vs Watchman</w:t>
            </w:r>
          </w:p>
        </w:tc>
        <w:tc>
          <w:tcPr>
            <w:tcW w:w="0" w:type="auto"/>
            <w:tcBorders>
              <w:top w:val="single" w:sz="4" w:space="0" w:color="auto"/>
              <w:left w:val="single" w:sz="4" w:space="0" w:color="auto"/>
              <w:bottom w:val="single" w:sz="4" w:space="0" w:color="auto"/>
            </w:tcBorders>
            <w:shd w:val="clear" w:color="auto" w:fill="FFFFFF" w:themeFill="background1"/>
            <w:noWrap/>
            <w:vAlign w:val="center"/>
            <w:hideMark/>
          </w:tcPr>
          <w:p w14:paraId="4DB2DDBD" w14:textId="7691BF69" w:rsidR="00034C89" w:rsidRPr="009B0F6E" w:rsidRDefault="00034C89">
            <w:pPr>
              <w:widowControl w:val="0"/>
              <w:rPr>
                <w:rFonts w:ascii="Calibri" w:hAnsi="Calibri" w:cs="Calibri"/>
                <w:sz w:val="22"/>
                <w:szCs w:val="22"/>
                <w:lang w:eastAsia="it-IT"/>
              </w:rPr>
            </w:pPr>
            <w:r w:rsidRPr="009B0F6E">
              <w:rPr>
                <w:rFonts w:ascii="Calibri" w:hAnsi="Calibri" w:cs="Calibri"/>
                <w:sz w:val="22"/>
                <w:szCs w:val="22"/>
                <w:lang w:eastAsia="it-IT"/>
              </w:rPr>
              <w:t>Amulet vs Watchman 2.5</w:t>
            </w:r>
          </w:p>
        </w:tc>
      </w:tr>
      <w:tr w:rsidR="00034C89" w:rsidRPr="009B0F6E" w14:paraId="6504C180" w14:textId="77777777" w:rsidTr="001E0E29">
        <w:trPr>
          <w:trHeight w:val="460"/>
        </w:trPr>
        <w:tc>
          <w:tcPr>
            <w:tcW w:w="0" w:type="auto"/>
            <w:tcBorders>
              <w:top w:val="single" w:sz="4" w:space="0" w:color="auto"/>
              <w:bottom w:val="single" w:sz="4" w:space="0" w:color="auto"/>
              <w:right w:val="single" w:sz="4" w:space="0" w:color="auto"/>
            </w:tcBorders>
            <w:shd w:val="clear" w:color="auto" w:fill="FFFFFF" w:themeFill="background1"/>
            <w:noWrap/>
            <w:vAlign w:val="center"/>
            <w:hideMark/>
          </w:tcPr>
          <w:p w14:paraId="0AB09916"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2021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ED887B"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PINNACLE FLX</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99A5F5"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Assessed safety of next-generation Watchman</w:t>
            </w:r>
          </w:p>
        </w:tc>
        <w:tc>
          <w:tcPr>
            <w:tcW w:w="0" w:type="auto"/>
            <w:tcBorders>
              <w:top w:val="single" w:sz="4" w:space="0" w:color="auto"/>
              <w:left w:val="single" w:sz="4" w:space="0" w:color="auto"/>
              <w:bottom w:val="single" w:sz="4" w:space="0" w:color="auto"/>
            </w:tcBorders>
            <w:shd w:val="clear" w:color="auto" w:fill="FFFFFF" w:themeFill="background1"/>
            <w:noWrap/>
            <w:vAlign w:val="center"/>
            <w:hideMark/>
          </w:tcPr>
          <w:p w14:paraId="33808896"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Watchman FLX</w:t>
            </w:r>
          </w:p>
        </w:tc>
      </w:tr>
      <w:tr w:rsidR="00034C89" w:rsidRPr="009B0F6E" w14:paraId="7AD4E08F" w14:textId="77777777" w:rsidTr="001E0E29">
        <w:trPr>
          <w:trHeight w:val="460"/>
        </w:trPr>
        <w:tc>
          <w:tcPr>
            <w:tcW w:w="0" w:type="auto"/>
            <w:tcBorders>
              <w:top w:val="single" w:sz="4" w:space="0" w:color="auto"/>
              <w:bottom w:val="single" w:sz="4" w:space="0" w:color="auto"/>
              <w:right w:val="single" w:sz="4" w:space="0" w:color="auto"/>
            </w:tcBorders>
            <w:shd w:val="clear" w:color="auto" w:fill="FFFFFF" w:themeFill="background1"/>
            <w:noWrap/>
            <w:vAlign w:val="center"/>
            <w:hideMark/>
          </w:tcPr>
          <w:p w14:paraId="028031A2"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2022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FCB712"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SWISS-APERO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07EF42"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Compared Amulet vs Watchman FLX anatomically</w:t>
            </w:r>
          </w:p>
        </w:tc>
        <w:tc>
          <w:tcPr>
            <w:tcW w:w="0" w:type="auto"/>
            <w:tcBorders>
              <w:top w:val="single" w:sz="4" w:space="0" w:color="auto"/>
              <w:left w:val="single" w:sz="4" w:space="0" w:color="auto"/>
              <w:bottom w:val="single" w:sz="4" w:space="0" w:color="auto"/>
            </w:tcBorders>
            <w:shd w:val="clear" w:color="auto" w:fill="FFFFFF" w:themeFill="background1"/>
            <w:noWrap/>
            <w:vAlign w:val="center"/>
            <w:hideMark/>
          </w:tcPr>
          <w:p w14:paraId="7772668B" w14:textId="50691588" w:rsidR="00034C89" w:rsidRPr="009B0F6E" w:rsidRDefault="00034C89">
            <w:pPr>
              <w:widowControl w:val="0"/>
              <w:rPr>
                <w:rFonts w:ascii="Calibri" w:hAnsi="Calibri" w:cs="Calibri"/>
                <w:sz w:val="22"/>
                <w:szCs w:val="22"/>
                <w:lang w:eastAsia="it-IT"/>
              </w:rPr>
            </w:pPr>
            <w:r w:rsidRPr="009B0F6E">
              <w:rPr>
                <w:rFonts w:ascii="Calibri" w:hAnsi="Calibri" w:cs="Calibri"/>
                <w:sz w:val="22"/>
                <w:szCs w:val="22"/>
                <w:lang w:eastAsia="it-IT"/>
              </w:rPr>
              <w:t>Amulet vs Watchman FLX (&gt; 80%)/Watchman 2.5</w:t>
            </w:r>
          </w:p>
        </w:tc>
      </w:tr>
      <w:tr w:rsidR="00034C89" w:rsidRPr="009B0F6E" w14:paraId="71726924" w14:textId="77777777" w:rsidTr="001E0E29">
        <w:trPr>
          <w:trHeight w:val="460"/>
        </w:trPr>
        <w:tc>
          <w:tcPr>
            <w:tcW w:w="0" w:type="auto"/>
            <w:tcBorders>
              <w:top w:val="single" w:sz="4" w:space="0" w:color="auto"/>
              <w:bottom w:val="single" w:sz="4" w:space="0" w:color="auto"/>
              <w:right w:val="single" w:sz="4" w:space="0" w:color="auto"/>
            </w:tcBorders>
            <w:shd w:val="clear" w:color="auto" w:fill="FFFFFF" w:themeFill="background1"/>
            <w:noWrap/>
            <w:vAlign w:val="center"/>
            <w:hideMark/>
          </w:tcPr>
          <w:p w14:paraId="53B7D27F"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2022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13386A"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PROTECT/PREVAIL 5Y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681206"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Long-term follow-up of earlier RCTs</w:t>
            </w:r>
          </w:p>
        </w:tc>
        <w:tc>
          <w:tcPr>
            <w:tcW w:w="0" w:type="auto"/>
            <w:tcBorders>
              <w:top w:val="single" w:sz="4" w:space="0" w:color="auto"/>
              <w:left w:val="single" w:sz="4" w:space="0" w:color="auto"/>
              <w:bottom w:val="single" w:sz="4" w:space="0" w:color="auto"/>
            </w:tcBorders>
            <w:shd w:val="clear" w:color="auto" w:fill="FFFFFF" w:themeFill="background1"/>
            <w:noWrap/>
            <w:vAlign w:val="center"/>
            <w:hideMark/>
          </w:tcPr>
          <w:p w14:paraId="7D885002"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Watchman 2.5</w:t>
            </w:r>
          </w:p>
        </w:tc>
      </w:tr>
      <w:tr w:rsidR="00034C89" w:rsidRPr="009B0F6E" w14:paraId="21E95E09" w14:textId="77777777" w:rsidTr="001E0E29">
        <w:trPr>
          <w:trHeight w:val="460"/>
        </w:trPr>
        <w:tc>
          <w:tcPr>
            <w:tcW w:w="0" w:type="auto"/>
            <w:tcBorders>
              <w:top w:val="single" w:sz="4" w:space="0" w:color="auto"/>
              <w:bottom w:val="single" w:sz="4" w:space="0" w:color="auto"/>
              <w:right w:val="single" w:sz="4" w:space="0" w:color="auto"/>
            </w:tcBorders>
            <w:shd w:val="clear" w:color="auto" w:fill="FFFFFF" w:themeFill="background1"/>
            <w:noWrap/>
            <w:vAlign w:val="center"/>
            <w:hideMark/>
          </w:tcPr>
          <w:p w14:paraId="4D387334"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2022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A865BD"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SURPASS Registry (1Y)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53C0F4"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Evaluated real-world outcomes of &gt;17,000 Watchman FLX implants</w:t>
            </w:r>
          </w:p>
        </w:tc>
        <w:tc>
          <w:tcPr>
            <w:tcW w:w="0" w:type="auto"/>
            <w:tcBorders>
              <w:top w:val="single" w:sz="4" w:space="0" w:color="auto"/>
              <w:left w:val="single" w:sz="4" w:space="0" w:color="auto"/>
              <w:bottom w:val="single" w:sz="4" w:space="0" w:color="auto"/>
            </w:tcBorders>
            <w:shd w:val="clear" w:color="auto" w:fill="FFFFFF" w:themeFill="background1"/>
            <w:noWrap/>
            <w:vAlign w:val="center"/>
            <w:hideMark/>
          </w:tcPr>
          <w:p w14:paraId="541E1A72"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Watchman FLX</w:t>
            </w:r>
          </w:p>
        </w:tc>
      </w:tr>
      <w:tr w:rsidR="00034C89" w:rsidRPr="009B0F6E" w14:paraId="17D77D35" w14:textId="77777777" w:rsidTr="001E0E29">
        <w:trPr>
          <w:trHeight w:val="460"/>
        </w:trPr>
        <w:tc>
          <w:tcPr>
            <w:tcW w:w="0" w:type="auto"/>
            <w:tcBorders>
              <w:top w:val="single" w:sz="4" w:space="0" w:color="auto"/>
              <w:bottom w:val="single" w:sz="4" w:space="0" w:color="auto"/>
              <w:right w:val="single" w:sz="4" w:space="0" w:color="auto"/>
            </w:tcBorders>
            <w:shd w:val="clear" w:color="auto" w:fill="FFFFFF" w:themeFill="background1"/>
            <w:noWrap/>
            <w:vAlign w:val="center"/>
            <w:hideMark/>
          </w:tcPr>
          <w:p w14:paraId="10C931D9"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2023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8A1C9D"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OPTION Trial</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787126"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Compared LAAC vs OAC after AF ablation</w:t>
            </w:r>
          </w:p>
        </w:tc>
        <w:tc>
          <w:tcPr>
            <w:tcW w:w="0" w:type="auto"/>
            <w:tcBorders>
              <w:top w:val="single" w:sz="4" w:space="0" w:color="auto"/>
              <w:left w:val="single" w:sz="4" w:space="0" w:color="auto"/>
              <w:bottom w:val="single" w:sz="4" w:space="0" w:color="auto"/>
            </w:tcBorders>
            <w:shd w:val="clear" w:color="auto" w:fill="FFFFFF" w:themeFill="background1"/>
            <w:noWrap/>
            <w:vAlign w:val="center"/>
            <w:hideMark/>
          </w:tcPr>
          <w:p w14:paraId="7999AEE5"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Watchman FLX</w:t>
            </w:r>
          </w:p>
        </w:tc>
      </w:tr>
      <w:tr w:rsidR="00034C89" w:rsidRPr="009B0F6E" w14:paraId="7345C599" w14:textId="77777777" w:rsidTr="001E0E29">
        <w:trPr>
          <w:trHeight w:val="460"/>
        </w:trPr>
        <w:tc>
          <w:tcPr>
            <w:tcW w:w="0" w:type="auto"/>
            <w:tcBorders>
              <w:top w:val="single" w:sz="4" w:space="0" w:color="auto"/>
              <w:bottom w:val="single" w:sz="4" w:space="0" w:color="auto"/>
              <w:right w:val="single" w:sz="4" w:space="0" w:color="auto"/>
            </w:tcBorders>
            <w:shd w:val="clear" w:color="auto" w:fill="FFFFFF" w:themeFill="background1"/>
            <w:noWrap/>
            <w:vAlign w:val="center"/>
            <w:hideMark/>
          </w:tcPr>
          <w:p w14:paraId="40EB1107"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2025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90AEB"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SWISS-APERO 3Y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496E3"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Extended follow-up of anatomical and ischemic outcomes</w:t>
            </w:r>
          </w:p>
        </w:tc>
        <w:tc>
          <w:tcPr>
            <w:tcW w:w="0" w:type="auto"/>
            <w:tcBorders>
              <w:top w:val="single" w:sz="4" w:space="0" w:color="auto"/>
              <w:left w:val="single" w:sz="4" w:space="0" w:color="auto"/>
              <w:bottom w:val="single" w:sz="4" w:space="0" w:color="auto"/>
            </w:tcBorders>
            <w:shd w:val="clear" w:color="auto" w:fill="FFFFFF" w:themeFill="background1"/>
            <w:noWrap/>
            <w:vAlign w:val="center"/>
            <w:hideMark/>
          </w:tcPr>
          <w:p w14:paraId="63BD612C"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Watchman FLX vs Amulet</w:t>
            </w:r>
          </w:p>
        </w:tc>
      </w:tr>
      <w:tr w:rsidR="00034C89" w:rsidRPr="009B0F6E" w14:paraId="27B3D662" w14:textId="77777777" w:rsidTr="001E0E29">
        <w:trPr>
          <w:trHeight w:val="460"/>
        </w:trPr>
        <w:tc>
          <w:tcPr>
            <w:tcW w:w="0" w:type="auto"/>
            <w:tcBorders>
              <w:top w:val="single" w:sz="4" w:space="0" w:color="auto"/>
              <w:bottom w:val="single" w:sz="4" w:space="0" w:color="auto"/>
              <w:right w:val="single" w:sz="4" w:space="0" w:color="auto"/>
            </w:tcBorders>
            <w:shd w:val="clear" w:color="auto" w:fill="F6F6F6" w:themeFill="text2" w:themeFillTint="1A"/>
            <w:noWrap/>
            <w:vAlign w:val="center"/>
            <w:hideMark/>
          </w:tcPr>
          <w:p w14:paraId="56BA7F02" w14:textId="46E1AF13"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2025</w:t>
            </w:r>
          </w:p>
        </w:tc>
        <w:tc>
          <w:tcPr>
            <w:tcW w:w="0" w:type="auto"/>
            <w:tcBorders>
              <w:top w:val="single" w:sz="4" w:space="0" w:color="auto"/>
              <w:left w:val="single" w:sz="4" w:space="0" w:color="auto"/>
              <w:bottom w:val="single" w:sz="4" w:space="0" w:color="auto"/>
              <w:right w:val="single" w:sz="4" w:space="0" w:color="auto"/>
            </w:tcBorders>
            <w:shd w:val="clear" w:color="auto" w:fill="F6F6F6" w:themeFill="text2" w:themeFillTint="1A"/>
            <w:noWrap/>
            <w:vAlign w:val="center"/>
            <w:hideMark/>
          </w:tcPr>
          <w:p w14:paraId="4BA75674"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CLOSURE</w:t>
            </w:r>
            <w:r w:rsidRPr="009B0F6E">
              <w:rPr>
                <w:rFonts w:ascii="Calibri" w:hAnsi="Calibri" w:cs="Calibri"/>
                <w:b/>
                <w:bCs/>
                <w:sz w:val="22"/>
                <w:szCs w:val="22"/>
                <w:lang w:eastAsia="it-IT"/>
              </w:rPr>
              <w:noBreakHyphen/>
              <w:t>AF</w:t>
            </w:r>
          </w:p>
        </w:tc>
        <w:tc>
          <w:tcPr>
            <w:tcW w:w="0" w:type="auto"/>
            <w:tcBorders>
              <w:top w:val="single" w:sz="4" w:space="0" w:color="auto"/>
              <w:left w:val="single" w:sz="4" w:space="0" w:color="auto"/>
              <w:bottom w:val="single" w:sz="4" w:space="0" w:color="auto"/>
              <w:right w:val="single" w:sz="4" w:space="0" w:color="auto"/>
            </w:tcBorders>
            <w:shd w:val="clear" w:color="auto" w:fill="F6F6F6" w:themeFill="text2" w:themeFillTint="1A"/>
            <w:noWrap/>
            <w:vAlign w:val="center"/>
            <w:hideMark/>
          </w:tcPr>
          <w:p w14:paraId="6DAC7B1A"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Comparing LAAC vs optimal medical therapy in high bleeding</w:t>
            </w:r>
            <w:r w:rsidRPr="009B0F6E">
              <w:rPr>
                <w:rFonts w:ascii="Calibri" w:hAnsi="Calibri" w:cs="Calibri"/>
                <w:sz w:val="22"/>
                <w:szCs w:val="22"/>
                <w:lang w:eastAsia="it-IT"/>
              </w:rPr>
              <w:noBreakHyphen/>
              <w:t>risk patients</w:t>
            </w:r>
          </w:p>
        </w:tc>
        <w:tc>
          <w:tcPr>
            <w:tcW w:w="0" w:type="auto"/>
            <w:tcBorders>
              <w:top w:val="single" w:sz="4" w:space="0" w:color="auto"/>
              <w:left w:val="single" w:sz="4" w:space="0" w:color="auto"/>
              <w:bottom w:val="single" w:sz="4" w:space="0" w:color="auto"/>
            </w:tcBorders>
            <w:shd w:val="clear" w:color="auto" w:fill="F6F6F6" w:themeFill="text2" w:themeFillTint="1A"/>
            <w:noWrap/>
            <w:vAlign w:val="center"/>
            <w:hideMark/>
          </w:tcPr>
          <w:p w14:paraId="0CFB81EB"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Watchman FLX, Amulet</w:t>
            </w:r>
          </w:p>
        </w:tc>
      </w:tr>
      <w:tr w:rsidR="00034C89" w:rsidRPr="009B0F6E" w14:paraId="718C08D2" w14:textId="77777777" w:rsidTr="001E0E29">
        <w:trPr>
          <w:trHeight w:val="460"/>
        </w:trPr>
        <w:tc>
          <w:tcPr>
            <w:tcW w:w="0" w:type="auto"/>
            <w:tcBorders>
              <w:top w:val="single" w:sz="4" w:space="0" w:color="auto"/>
              <w:bottom w:val="single" w:sz="4" w:space="0" w:color="auto"/>
              <w:right w:val="single" w:sz="4" w:space="0" w:color="auto"/>
            </w:tcBorders>
            <w:shd w:val="clear" w:color="auto" w:fill="BCD3EE"/>
            <w:noWrap/>
            <w:vAlign w:val="center"/>
            <w:hideMark/>
          </w:tcPr>
          <w:p w14:paraId="3934486A"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Est. 2026–27</w:t>
            </w:r>
          </w:p>
        </w:tc>
        <w:tc>
          <w:tcPr>
            <w:tcW w:w="0" w:type="auto"/>
            <w:tcBorders>
              <w:top w:val="single" w:sz="4" w:space="0" w:color="auto"/>
              <w:left w:val="single" w:sz="4" w:space="0" w:color="auto"/>
              <w:bottom w:val="single" w:sz="4" w:space="0" w:color="auto"/>
              <w:right w:val="single" w:sz="4" w:space="0" w:color="auto"/>
            </w:tcBorders>
            <w:shd w:val="clear" w:color="auto" w:fill="BCD3EE"/>
            <w:noWrap/>
            <w:vAlign w:val="center"/>
            <w:hideMark/>
          </w:tcPr>
          <w:p w14:paraId="25CAEA0B"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COMPARE LAAO</w:t>
            </w:r>
          </w:p>
        </w:tc>
        <w:tc>
          <w:tcPr>
            <w:tcW w:w="0" w:type="auto"/>
            <w:tcBorders>
              <w:top w:val="single" w:sz="4" w:space="0" w:color="auto"/>
              <w:left w:val="single" w:sz="4" w:space="0" w:color="auto"/>
              <w:bottom w:val="single" w:sz="4" w:space="0" w:color="auto"/>
              <w:right w:val="single" w:sz="4" w:space="0" w:color="auto"/>
            </w:tcBorders>
            <w:shd w:val="clear" w:color="auto" w:fill="BCD3EE"/>
            <w:noWrap/>
            <w:vAlign w:val="center"/>
            <w:hideMark/>
          </w:tcPr>
          <w:p w14:paraId="7481722C"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Comparing LAAC vs SAPT/DAPT in patients with contraindications to OAC</w:t>
            </w:r>
          </w:p>
        </w:tc>
        <w:tc>
          <w:tcPr>
            <w:tcW w:w="0" w:type="auto"/>
            <w:tcBorders>
              <w:top w:val="single" w:sz="4" w:space="0" w:color="auto"/>
              <w:left w:val="single" w:sz="4" w:space="0" w:color="auto"/>
              <w:bottom w:val="single" w:sz="4" w:space="0" w:color="auto"/>
            </w:tcBorders>
            <w:shd w:val="clear" w:color="auto" w:fill="BCD3EE"/>
            <w:noWrap/>
            <w:vAlign w:val="center"/>
            <w:hideMark/>
          </w:tcPr>
          <w:p w14:paraId="2505FB72"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Watchman FLX, Amulet</w:t>
            </w:r>
          </w:p>
        </w:tc>
      </w:tr>
      <w:tr w:rsidR="00034C89" w:rsidRPr="009B0F6E" w14:paraId="113AF3F1" w14:textId="77777777" w:rsidTr="001E0E29">
        <w:trPr>
          <w:trHeight w:val="460"/>
        </w:trPr>
        <w:tc>
          <w:tcPr>
            <w:tcW w:w="0" w:type="auto"/>
            <w:tcBorders>
              <w:top w:val="single" w:sz="4" w:space="0" w:color="auto"/>
              <w:bottom w:val="single" w:sz="4" w:space="0" w:color="auto"/>
              <w:right w:val="single" w:sz="4" w:space="0" w:color="auto"/>
            </w:tcBorders>
            <w:shd w:val="clear" w:color="auto" w:fill="BCD3EE"/>
            <w:noWrap/>
            <w:vAlign w:val="center"/>
            <w:hideMark/>
          </w:tcPr>
          <w:p w14:paraId="243B5A46"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Est. 2027–28</w:t>
            </w:r>
          </w:p>
        </w:tc>
        <w:tc>
          <w:tcPr>
            <w:tcW w:w="0" w:type="auto"/>
            <w:tcBorders>
              <w:top w:val="single" w:sz="4" w:space="0" w:color="auto"/>
              <w:left w:val="single" w:sz="4" w:space="0" w:color="auto"/>
              <w:bottom w:val="single" w:sz="4" w:space="0" w:color="auto"/>
              <w:right w:val="single" w:sz="4" w:space="0" w:color="auto"/>
            </w:tcBorders>
            <w:shd w:val="clear" w:color="auto" w:fill="BCD3EE"/>
            <w:noWrap/>
            <w:vAlign w:val="center"/>
            <w:hideMark/>
          </w:tcPr>
          <w:p w14:paraId="1402FE2F"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CHAMPION</w:t>
            </w:r>
            <w:r w:rsidRPr="009B0F6E">
              <w:rPr>
                <w:rFonts w:ascii="Calibri" w:hAnsi="Calibri" w:cs="Calibri"/>
                <w:b/>
                <w:bCs/>
                <w:sz w:val="22"/>
                <w:szCs w:val="22"/>
                <w:lang w:eastAsia="it-IT"/>
              </w:rPr>
              <w:noBreakHyphen/>
              <w:t>AF</w:t>
            </w:r>
          </w:p>
        </w:tc>
        <w:tc>
          <w:tcPr>
            <w:tcW w:w="0" w:type="auto"/>
            <w:tcBorders>
              <w:top w:val="single" w:sz="4" w:space="0" w:color="auto"/>
              <w:left w:val="single" w:sz="4" w:space="0" w:color="auto"/>
              <w:bottom w:val="single" w:sz="4" w:space="0" w:color="auto"/>
              <w:right w:val="single" w:sz="4" w:space="0" w:color="auto"/>
            </w:tcBorders>
            <w:shd w:val="clear" w:color="auto" w:fill="BCD3EE"/>
            <w:noWrap/>
            <w:vAlign w:val="center"/>
            <w:hideMark/>
          </w:tcPr>
          <w:p w14:paraId="51DE00E1"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 xml:space="preserve">Comparing LAAC to DOACs </w:t>
            </w:r>
          </w:p>
        </w:tc>
        <w:tc>
          <w:tcPr>
            <w:tcW w:w="0" w:type="auto"/>
            <w:tcBorders>
              <w:top w:val="single" w:sz="4" w:space="0" w:color="auto"/>
              <w:left w:val="single" w:sz="4" w:space="0" w:color="auto"/>
              <w:bottom w:val="single" w:sz="4" w:space="0" w:color="auto"/>
            </w:tcBorders>
            <w:shd w:val="clear" w:color="auto" w:fill="BCD3EE"/>
            <w:noWrap/>
            <w:vAlign w:val="center"/>
            <w:hideMark/>
          </w:tcPr>
          <w:p w14:paraId="4CD48D3B" w14:textId="5B0655C6"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Watchman FLX</w:t>
            </w:r>
          </w:p>
        </w:tc>
      </w:tr>
      <w:tr w:rsidR="00034C89" w:rsidRPr="009B0F6E" w14:paraId="120DF6BE" w14:textId="77777777" w:rsidTr="001E0E29">
        <w:trPr>
          <w:trHeight w:val="460"/>
        </w:trPr>
        <w:tc>
          <w:tcPr>
            <w:tcW w:w="0" w:type="auto"/>
            <w:tcBorders>
              <w:top w:val="single" w:sz="4" w:space="0" w:color="auto"/>
              <w:bottom w:val="single" w:sz="4" w:space="0" w:color="auto"/>
              <w:right w:val="single" w:sz="4" w:space="0" w:color="auto"/>
            </w:tcBorders>
            <w:shd w:val="clear" w:color="auto" w:fill="BCD3EE"/>
            <w:noWrap/>
            <w:vAlign w:val="center"/>
            <w:hideMark/>
          </w:tcPr>
          <w:p w14:paraId="1DAD206C"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Est. 2027–28</w:t>
            </w:r>
          </w:p>
        </w:tc>
        <w:tc>
          <w:tcPr>
            <w:tcW w:w="0" w:type="auto"/>
            <w:tcBorders>
              <w:top w:val="single" w:sz="4" w:space="0" w:color="auto"/>
              <w:left w:val="single" w:sz="4" w:space="0" w:color="auto"/>
              <w:bottom w:val="single" w:sz="4" w:space="0" w:color="auto"/>
              <w:right w:val="single" w:sz="4" w:space="0" w:color="auto"/>
            </w:tcBorders>
            <w:shd w:val="clear" w:color="auto" w:fill="BCD3EE"/>
            <w:noWrap/>
            <w:vAlign w:val="center"/>
            <w:hideMark/>
          </w:tcPr>
          <w:p w14:paraId="15C187BC"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CATALYST</w:t>
            </w:r>
          </w:p>
        </w:tc>
        <w:tc>
          <w:tcPr>
            <w:tcW w:w="0" w:type="auto"/>
            <w:tcBorders>
              <w:top w:val="single" w:sz="4" w:space="0" w:color="auto"/>
              <w:left w:val="single" w:sz="4" w:space="0" w:color="auto"/>
              <w:bottom w:val="single" w:sz="4" w:space="0" w:color="auto"/>
              <w:right w:val="single" w:sz="4" w:space="0" w:color="auto"/>
            </w:tcBorders>
            <w:shd w:val="clear" w:color="auto" w:fill="BCD3EE"/>
            <w:noWrap/>
            <w:vAlign w:val="center"/>
            <w:hideMark/>
          </w:tcPr>
          <w:p w14:paraId="3C80E920"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 xml:space="preserve">Comparing LAAC to DOACs </w:t>
            </w:r>
          </w:p>
        </w:tc>
        <w:tc>
          <w:tcPr>
            <w:tcW w:w="0" w:type="auto"/>
            <w:tcBorders>
              <w:top w:val="single" w:sz="4" w:space="0" w:color="auto"/>
              <w:left w:val="single" w:sz="4" w:space="0" w:color="auto"/>
              <w:bottom w:val="single" w:sz="4" w:space="0" w:color="auto"/>
            </w:tcBorders>
            <w:shd w:val="clear" w:color="auto" w:fill="BCD3EE"/>
            <w:noWrap/>
            <w:vAlign w:val="center"/>
            <w:hideMark/>
          </w:tcPr>
          <w:p w14:paraId="387C4273"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Amulet</w:t>
            </w:r>
          </w:p>
        </w:tc>
      </w:tr>
      <w:tr w:rsidR="00034C89" w:rsidRPr="009B0F6E" w14:paraId="3E9DAD57" w14:textId="77777777" w:rsidTr="001E0E29">
        <w:trPr>
          <w:trHeight w:val="460"/>
        </w:trPr>
        <w:tc>
          <w:tcPr>
            <w:tcW w:w="0" w:type="auto"/>
            <w:tcBorders>
              <w:top w:val="single" w:sz="4" w:space="0" w:color="auto"/>
              <w:bottom w:val="single" w:sz="4" w:space="0" w:color="auto"/>
              <w:right w:val="single" w:sz="4" w:space="0" w:color="auto"/>
            </w:tcBorders>
            <w:shd w:val="clear" w:color="auto" w:fill="BCD3EE"/>
            <w:noWrap/>
            <w:vAlign w:val="center"/>
            <w:hideMark/>
          </w:tcPr>
          <w:p w14:paraId="3CBF9D02"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Est. 2028</w:t>
            </w:r>
          </w:p>
        </w:tc>
        <w:tc>
          <w:tcPr>
            <w:tcW w:w="0" w:type="auto"/>
            <w:tcBorders>
              <w:top w:val="single" w:sz="4" w:space="0" w:color="auto"/>
              <w:left w:val="single" w:sz="4" w:space="0" w:color="auto"/>
              <w:bottom w:val="single" w:sz="4" w:space="0" w:color="auto"/>
              <w:right w:val="single" w:sz="4" w:space="0" w:color="auto"/>
            </w:tcBorders>
            <w:shd w:val="clear" w:color="auto" w:fill="BCD3EE"/>
            <w:noWrap/>
            <w:vAlign w:val="center"/>
            <w:hideMark/>
          </w:tcPr>
          <w:p w14:paraId="1DF7223B"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ELAPSE</w:t>
            </w:r>
          </w:p>
        </w:tc>
        <w:tc>
          <w:tcPr>
            <w:tcW w:w="0" w:type="auto"/>
            <w:tcBorders>
              <w:top w:val="single" w:sz="4" w:space="0" w:color="auto"/>
              <w:left w:val="single" w:sz="4" w:space="0" w:color="auto"/>
              <w:bottom w:val="single" w:sz="4" w:space="0" w:color="auto"/>
              <w:right w:val="single" w:sz="4" w:space="0" w:color="auto"/>
            </w:tcBorders>
            <w:shd w:val="clear" w:color="auto" w:fill="BCD3EE"/>
            <w:noWrap/>
            <w:vAlign w:val="center"/>
            <w:hideMark/>
          </w:tcPr>
          <w:p w14:paraId="2CE8F65E"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Comparing LAAC plus OAC vs OAC alone in recurrent stroke despite therapy</w:t>
            </w:r>
          </w:p>
        </w:tc>
        <w:tc>
          <w:tcPr>
            <w:tcW w:w="0" w:type="auto"/>
            <w:tcBorders>
              <w:top w:val="single" w:sz="4" w:space="0" w:color="auto"/>
              <w:left w:val="single" w:sz="4" w:space="0" w:color="auto"/>
              <w:bottom w:val="single" w:sz="4" w:space="0" w:color="auto"/>
            </w:tcBorders>
            <w:shd w:val="clear" w:color="auto" w:fill="BCD3EE"/>
            <w:noWrap/>
            <w:vAlign w:val="center"/>
            <w:hideMark/>
          </w:tcPr>
          <w:p w14:paraId="00405230"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w:t>
            </w:r>
          </w:p>
        </w:tc>
      </w:tr>
      <w:tr w:rsidR="00034C89" w:rsidRPr="009B0F6E" w14:paraId="77B24567" w14:textId="77777777" w:rsidTr="001E0E29">
        <w:trPr>
          <w:trHeight w:val="460"/>
        </w:trPr>
        <w:tc>
          <w:tcPr>
            <w:tcW w:w="0" w:type="auto"/>
            <w:tcBorders>
              <w:top w:val="single" w:sz="4" w:space="0" w:color="auto"/>
              <w:bottom w:val="single" w:sz="4" w:space="0" w:color="auto"/>
              <w:right w:val="single" w:sz="4" w:space="0" w:color="auto"/>
            </w:tcBorders>
            <w:shd w:val="clear" w:color="auto" w:fill="BCD3EE"/>
            <w:noWrap/>
            <w:vAlign w:val="center"/>
          </w:tcPr>
          <w:p w14:paraId="420FBB66"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Est. 2029</w:t>
            </w:r>
          </w:p>
        </w:tc>
        <w:tc>
          <w:tcPr>
            <w:tcW w:w="0" w:type="auto"/>
            <w:tcBorders>
              <w:top w:val="single" w:sz="4" w:space="0" w:color="auto"/>
              <w:left w:val="single" w:sz="4" w:space="0" w:color="auto"/>
              <w:bottom w:val="single" w:sz="4" w:space="0" w:color="auto"/>
              <w:right w:val="single" w:sz="4" w:space="0" w:color="auto"/>
            </w:tcBorders>
            <w:shd w:val="clear" w:color="auto" w:fill="BCD3EE"/>
            <w:noWrap/>
            <w:vAlign w:val="center"/>
          </w:tcPr>
          <w:p w14:paraId="70950348" w14:textId="77777777" w:rsidR="00034C89" w:rsidRPr="009B0F6E" w:rsidRDefault="00034C89"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LAAOS-IV</w:t>
            </w:r>
          </w:p>
        </w:tc>
        <w:tc>
          <w:tcPr>
            <w:tcW w:w="0" w:type="auto"/>
            <w:tcBorders>
              <w:top w:val="single" w:sz="4" w:space="0" w:color="auto"/>
              <w:left w:val="single" w:sz="4" w:space="0" w:color="auto"/>
              <w:bottom w:val="single" w:sz="4" w:space="0" w:color="auto"/>
              <w:right w:val="single" w:sz="4" w:space="0" w:color="auto"/>
            </w:tcBorders>
            <w:shd w:val="clear" w:color="auto" w:fill="BCD3EE"/>
            <w:noWrap/>
            <w:vAlign w:val="center"/>
          </w:tcPr>
          <w:p w14:paraId="1FABC916"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Comparing LAAC plus OAC vs. OAC alone in AF patients</w:t>
            </w:r>
          </w:p>
        </w:tc>
        <w:tc>
          <w:tcPr>
            <w:tcW w:w="0" w:type="auto"/>
            <w:tcBorders>
              <w:top w:val="single" w:sz="4" w:space="0" w:color="auto"/>
              <w:left w:val="single" w:sz="4" w:space="0" w:color="auto"/>
              <w:bottom w:val="single" w:sz="4" w:space="0" w:color="auto"/>
            </w:tcBorders>
            <w:shd w:val="clear" w:color="auto" w:fill="BCD3EE"/>
            <w:noWrap/>
            <w:vAlign w:val="center"/>
          </w:tcPr>
          <w:p w14:paraId="1C4E0213" w14:textId="77777777" w:rsidR="00034C89" w:rsidRPr="009B0F6E" w:rsidRDefault="00034C89" w:rsidP="003A7AD9">
            <w:pPr>
              <w:widowControl w:val="0"/>
              <w:rPr>
                <w:rFonts w:ascii="Calibri" w:hAnsi="Calibri" w:cs="Calibri"/>
                <w:sz w:val="22"/>
                <w:szCs w:val="22"/>
                <w:lang w:eastAsia="it-IT"/>
              </w:rPr>
            </w:pPr>
            <w:r w:rsidRPr="009B0F6E">
              <w:rPr>
                <w:rFonts w:ascii="Calibri" w:hAnsi="Calibri" w:cs="Calibri"/>
                <w:sz w:val="22"/>
                <w:szCs w:val="22"/>
                <w:lang w:eastAsia="it-IT"/>
              </w:rPr>
              <w:t>Watchman FLX PRO</w:t>
            </w:r>
          </w:p>
        </w:tc>
      </w:tr>
    </w:tbl>
    <w:p w14:paraId="0D1D6A98" w14:textId="77777777" w:rsidR="00034C89" w:rsidRDefault="00034C89" w:rsidP="003A7AD9">
      <w:pPr>
        <w:widowControl w:val="0"/>
        <w:rPr>
          <w:rFonts w:ascii="Calibri" w:hAnsi="Calibri" w:cs="Calibri"/>
          <w:b/>
          <w:bCs/>
          <w:sz w:val="22"/>
          <w:szCs w:val="22"/>
          <w:lang w:eastAsia="it-IT"/>
        </w:rPr>
      </w:pPr>
    </w:p>
    <w:p w14:paraId="0D01411C" w14:textId="1D158006" w:rsidR="00230F4F" w:rsidRPr="001E0E29" w:rsidRDefault="00230F4F" w:rsidP="003A7AD9">
      <w:pPr>
        <w:widowControl w:val="0"/>
        <w:jc w:val="both"/>
        <w:rPr>
          <w:rFonts w:ascii="Calibri" w:hAnsi="Calibri" w:cs="Calibri"/>
          <w:bCs/>
          <w:sz w:val="22"/>
          <w:szCs w:val="22"/>
          <w:lang w:eastAsia="it-IT"/>
        </w:rPr>
      </w:pPr>
      <w:r w:rsidRPr="009B0F6E">
        <w:rPr>
          <w:rFonts w:ascii="Calibri" w:hAnsi="Calibri" w:cs="Calibri"/>
          <w:b/>
          <w:bCs/>
          <w:sz w:val="22"/>
          <w:szCs w:val="22"/>
          <w:lang w:eastAsia="it-IT"/>
        </w:rPr>
        <w:t>Table 2.</w:t>
      </w:r>
      <w:r w:rsidRPr="001E0E29">
        <w:rPr>
          <w:rFonts w:ascii="Calibri" w:hAnsi="Calibri" w:cs="Calibri"/>
          <w:bCs/>
          <w:sz w:val="22"/>
          <w:szCs w:val="22"/>
          <w:lang w:eastAsia="it-IT"/>
        </w:rPr>
        <w:t xml:space="preserve"> Main </w:t>
      </w:r>
      <w:r w:rsidR="005C1B38" w:rsidRPr="009B0F6E">
        <w:rPr>
          <w:rFonts w:ascii="Calibri" w:hAnsi="Calibri" w:cs="Calibri"/>
          <w:bCs/>
          <w:sz w:val="22"/>
          <w:szCs w:val="22"/>
          <w:lang w:eastAsia="it-IT"/>
        </w:rPr>
        <w:t xml:space="preserve">Findings </w:t>
      </w:r>
      <w:r w:rsidRPr="001E0E29">
        <w:rPr>
          <w:rFonts w:ascii="Calibri" w:hAnsi="Calibri" w:cs="Calibri"/>
          <w:bCs/>
          <w:sz w:val="22"/>
          <w:szCs w:val="22"/>
          <w:lang w:eastAsia="it-IT"/>
        </w:rPr>
        <w:t xml:space="preserve">of the RCTs and </w:t>
      </w:r>
      <w:r w:rsidR="005C1B38" w:rsidRPr="009B0F6E">
        <w:rPr>
          <w:rFonts w:ascii="Calibri" w:hAnsi="Calibri" w:cs="Calibri"/>
          <w:bCs/>
          <w:sz w:val="22"/>
          <w:szCs w:val="22"/>
          <w:lang w:eastAsia="it-IT"/>
        </w:rPr>
        <w:t xml:space="preserve">Observational Registries </w:t>
      </w:r>
      <w:r w:rsidRPr="001E0E29">
        <w:rPr>
          <w:rFonts w:ascii="Calibri" w:hAnsi="Calibri" w:cs="Calibri"/>
          <w:bCs/>
          <w:sz w:val="22"/>
          <w:szCs w:val="22"/>
          <w:lang w:eastAsia="it-IT"/>
        </w:rPr>
        <w:t>on LAAC</w:t>
      </w:r>
    </w:p>
    <w:tbl>
      <w:tblPr>
        <w:tblW w:w="0" w:type="auto"/>
        <w:tblLayout w:type="fixed"/>
        <w:tblCellMar>
          <w:left w:w="70" w:type="dxa"/>
          <w:right w:w="70" w:type="dxa"/>
        </w:tblCellMar>
        <w:tblLook w:val="04A0" w:firstRow="1" w:lastRow="0" w:firstColumn="1" w:lastColumn="0" w:noHBand="0" w:noVBand="1"/>
      </w:tblPr>
      <w:tblGrid>
        <w:gridCol w:w="1374"/>
        <w:gridCol w:w="1456"/>
        <w:gridCol w:w="1560"/>
        <w:gridCol w:w="992"/>
        <w:gridCol w:w="850"/>
        <w:gridCol w:w="2694"/>
        <w:gridCol w:w="2409"/>
        <w:gridCol w:w="1843"/>
        <w:gridCol w:w="992"/>
        <w:gridCol w:w="2383"/>
        <w:gridCol w:w="2244"/>
        <w:gridCol w:w="2127"/>
      </w:tblGrid>
      <w:tr w:rsidR="00067B73" w:rsidRPr="009B0F6E" w14:paraId="28296563" w14:textId="77777777" w:rsidTr="001E0E29">
        <w:trPr>
          <w:trHeight w:val="20"/>
        </w:trPr>
        <w:tc>
          <w:tcPr>
            <w:tcW w:w="1374" w:type="dxa"/>
            <w:tcBorders>
              <w:top w:val="single" w:sz="4" w:space="0" w:color="auto"/>
              <w:left w:val="single" w:sz="4" w:space="0" w:color="auto"/>
              <w:bottom w:val="single" w:sz="4" w:space="0" w:color="auto"/>
              <w:right w:val="single" w:sz="4" w:space="0" w:color="auto"/>
            </w:tcBorders>
            <w:shd w:val="clear" w:color="auto" w:fill="538DD5"/>
            <w:noWrap/>
            <w:vAlign w:val="center"/>
            <w:hideMark/>
          </w:tcPr>
          <w:p w14:paraId="042B8A25" w14:textId="77777777" w:rsidR="00230F4F" w:rsidRPr="009B0F6E" w:rsidRDefault="00230F4F"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Author</w:t>
            </w:r>
          </w:p>
        </w:tc>
        <w:tc>
          <w:tcPr>
            <w:tcW w:w="1456" w:type="dxa"/>
            <w:tcBorders>
              <w:top w:val="single" w:sz="4" w:space="0" w:color="auto"/>
              <w:left w:val="nil"/>
              <w:bottom w:val="single" w:sz="4" w:space="0" w:color="auto"/>
              <w:right w:val="single" w:sz="4" w:space="0" w:color="auto"/>
            </w:tcBorders>
            <w:shd w:val="clear" w:color="auto" w:fill="538DD5"/>
            <w:noWrap/>
            <w:vAlign w:val="center"/>
            <w:hideMark/>
          </w:tcPr>
          <w:p w14:paraId="155F5F0C" w14:textId="77777777" w:rsidR="00230F4F" w:rsidRPr="009B0F6E" w:rsidRDefault="00230F4F"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Study</w:t>
            </w:r>
          </w:p>
        </w:tc>
        <w:tc>
          <w:tcPr>
            <w:tcW w:w="1560" w:type="dxa"/>
            <w:tcBorders>
              <w:top w:val="single" w:sz="4" w:space="0" w:color="auto"/>
              <w:left w:val="nil"/>
              <w:bottom w:val="single" w:sz="4" w:space="0" w:color="auto"/>
              <w:right w:val="single" w:sz="4" w:space="0" w:color="auto"/>
            </w:tcBorders>
            <w:shd w:val="clear" w:color="auto" w:fill="538DD5"/>
            <w:noWrap/>
            <w:vAlign w:val="center"/>
            <w:hideMark/>
          </w:tcPr>
          <w:p w14:paraId="06CE0C48" w14:textId="77777777" w:rsidR="00230F4F" w:rsidRPr="009B0F6E" w:rsidRDefault="00230F4F"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Device</w:t>
            </w:r>
          </w:p>
        </w:tc>
        <w:tc>
          <w:tcPr>
            <w:tcW w:w="992" w:type="dxa"/>
            <w:tcBorders>
              <w:top w:val="single" w:sz="4" w:space="0" w:color="auto"/>
              <w:left w:val="nil"/>
              <w:bottom w:val="single" w:sz="4" w:space="0" w:color="auto"/>
              <w:right w:val="single" w:sz="4" w:space="0" w:color="auto"/>
            </w:tcBorders>
            <w:shd w:val="clear" w:color="auto" w:fill="538DD5"/>
            <w:vAlign w:val="center"/>
            <w:hideMark/>
          </w:tcPr>
          <w:p w14:paraId="29B9CD1F" w14:textId="77777777" w:rsidR="00230F4F" w:rsidRPr="009B0F6E" w:rsidRDefault="00230F4F"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Follow-up length</w:t>
            </w:r>
          </w:p>
        </w:tc>
        <w:tc>
          <w:tcPr>
            <w:tcW w:w="850" w:type="dxa"/>
            <w:tcBorders>
              <w:top w:val="single" w:sz="4" w:space="0" w:color="auto"/>
              <w:left w:val="nil"/>
              <w:bottom w:val="single" w:sz="4" w:space="0" w:color="auto"/>
              <w:right w:val="single" w:sz="4" w:space="0" w:color="auto"/>
            </w:tcBorders>
            <w:shd w:val="clear" w:color="auto" w:fill="538DD5"/>
            <w:vAlign w:val="center"/>
            <w:hideMark/>
          </w:tcPr>
          <w:p w14:paraId="57FEE31F" w14:textId="77777777" w:rsidR="00230F4F" w:rsidRPr="009B0F6E" w:rsidRDefault="00230F4F"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Acute success</w:t>
            </w:r>
          </w:p>
        </w:tc>
        <w:tc>
          <w:tcPr>
            <w:tcW w:w="2694" w:type="dxa"/>
            <w:tcBorders>
              <w:top w:val="single" w:sz="4" w:space="0" w:color="auto"/>
              <w:left w:val="nil"/>
              <w:bottom w:val="single" w:sz="4" w:space="0" w:color="auto"/>
              <w:right w:val="single" w:sz="4" w:space="0" w:color="auto"/>
            </w:tcBorders>
            <w:shd w:val="clear" w:color="auto" w:fill="538DD5"/>
            <w:noWrap/>
            <w:vAlign w:val="center"/>
            <w:hideMark/>
          </w:tcPr>
          <w:p w14:paraId="685BF354" w14:textId="77777777" w:rsidR="00230F4F" w:rsidRPr="009B0F6E" w:rsidRDefault="00230F4F"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Periprocedural complications (up to 7 days)</w:t>
            </w:r>
          </w:p>
        </w:tc>
        <w:tc>
          <w:tcPr>
            <w:tcW w:w="2409" w:type="dxa"/>
            <w:tcBorders>
              <w:top w:val="single" w:sz="4" w:space="0" w:color="auto"/>
              <w:left w:val="nil"/>
              <w:bottom w:val="single" w:sz="4" w:space="0" w:color="auto"/>
              <w:right w:val="single" w:sz="4" w:space="0" w:color="auto"/>
            </w:tcBorders>
            <w:shd w:val="clear" w:color="auto" w:fill="538DD5"/>
            <w:noWrap/>
            <w:vAlign w:val="center"/>
            <w:hideMark/>
          </w:tcPr>
          <w:p w14:paraId="2A92B9E7" w14:textId="77777777" w:rsidR="00230F4F" w:rsidRPr="009B0F6E" w:rsidRDefault="00230F4F"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Peri-device leak</w:t>
            </w:r>
          </w:p>
        </w:tc>
        <w:tc>
          <w:tcPr>
            <w:tcW w:w="1843" w:type="dxa"/>
            <w:tcBorders>
              <w:top w:val="single" w:sz="4" w:space="0" w:color="auto"/>
              <w:left w:val="nil"/>
              <w:bottom w:val="single" w:sz="4" w:space="0" w:color="auto"/>
              <w:right w:val="single" w:sz="4" w:space="0" w:color="auto"/>
            </w:tcBorders>
            <w:shd w:val="clear" w:color="auto" w:fill="538DD5"/>
            <w:noWrap/>
            <w:vAlign w:val="center"/>
            <w:hideMark/>
          </w:tcPr>
          <w:p w14:paraId="59F2AB55" w14:textId="77777777" w:rsidR="00230F4F" w:rsidRPr="009B0F6E" w:rsidRDefault="00230F4F"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Device-related thrombus</w:t>
            </w:r>
          </w:p>
        </w:tc>
        <w:tc>
          <w:tcPr>
            <w:tcW w:w="992" w:type="dxa"/>
            <w:tcBorders>
              <w:top w:val="single" w:sz="4" w:space="0" w:color="auto"/>
              <w:left w:val="nil"/>
              <w:bottom w:val="single" w:sz="4" w:space="0" w:color="auto"/>
              <w:right w:val="single" w:sz="4" w:space="0" w:color="auto"/>
            </w:tcBorders>
            <w:shd w:val="clear" w:color="auto" w:fill="538DD5"/>
            <w:noWrap/>
            <w:vAlign w:val="center"/>
            <w:hideMark/>
          </w:tcPr>
          <w:p w14:paraId="4DA3C29B" w14:textId="77777777" w:rsidR="00230F4F" w:rsidRPr="009B0F6E" w:rsidRDefault="00230F4F"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Device embolization</w:t>
            </w:r>
          </w:p>
        </w:tc>
        <w:tc>
          <w:tcPr>
            <w:tcW w:w="2383" w:type="dxa"/>
            <w:tcBorders>
              <w:top w:val="single" w:sz="4" w:space="0" w:color="auto"/>
              <w:left w:val="nil"/>
              <w:bottom w:val="single" w:sz="4" w:space="0" w:color="auto"/>
              <w:right w:val="single" w:sz="4" w:space="0" w:color="auto"/>
            </w:tcBorders>
            <w:shd w:val="clear" w:color="auto" w:fill="538DD5"/>
            <w:noWrap/>
            <w:vAlign w:val="center"/>
            <w:hideMark/>
          </w:tcPr>
          <w:p w14:paraId="1E6D8F46" w14:textId="77777777" w:rsidR="00230F4F" w:rsidRPr="009B0F6E" w:rsidRDefault="00230F4F"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Stroke/systemic embolism</w:t>
            </w:r>
          </w:p>
        </w:tc>
        <w:tc>
          <w:tcPr>
            <w:tcW w:w="2244" w:type="dxa"/>
            <w:tcBorders>
              <w:top w:val="single" w:sz="4" w:space="0" w:color="auto"/>
              <w:left w:val="nil"/>
              <w:bottom w:val="single" w:sz="4" w:space="0" w:color="auto"/>
              <w:right w:val="single" w:sz="4" w:space="0" w:color="auto"/>
            </w:tcBorders>
            <w:shd w:val="clear" w:color="auto" w:fill="538DD5"/>
            <w:noWrap/>
            <w:vAlign w:val="center"/>
            <w:hideMark/>
          </w:tcPr>
          <w:p w14:paraId="6C1E3789" w14:textId="77777777" w:rsidR="00230F4F" w:rsidRPr="009B0F6E" w:rsidRDefault="00230F4F"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Bleeding</w:t>
            </w:r>
          </w:p>
        </w:tc>
        <w:tc>
          <w:tcPr>
            <w:tcW w:w="2127" w:type="dxa"/>
            <w:tcBorders>
              <w:top w:val="single" w:sz="4" w:space="0" w:color="auto"/>
              <w:left w:val="nil"/>
              <w:bottom w:val="single" w:sz="4" w:space="0" w:color="auto"/>
              <w:right w:val="single" w:sz="4" w:space="0" w:color="auto"/>
            </w:tcBorders>
            <w:shd w:val="clear" w:color="auto" w:fill="538DD5"/>
            <w:noWrap/>
            <w:vAlign w:val="center"/>
            <w:hideMark/>
          </w:tcPr>
          <w:p w14:paraId="5E456B11" w14:textId="77777777" w:rsidR="00230F4F" w:rsidRPr="009B0F6E" w:rsidRDefault="00230F4F"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Mortality</w:t>
            </w:r>
          </w:p>
        </w:tc>
      </w:tr>
      <w:tr w:rsidR="00067B73" w:rsidRPr="009B0F6E" w14:paraId="3B1CEFEB" w14:textId="77777777" w:rsidTr="001E0E29">
        <w:trPr>
          <w:trHeight w:val="20"/>
        </w:trPr>
        <w:tc>
          <w:tcPr>
            <w:tcW w:w="1374" w:type="dxa"/>
            <w:tcBorders>
              <w:top w:val="nil"/>
              <w:left w:val="single" w:sz="4" w:space="0" w:color="auto"/>
              <w:bottom w:val="single" w:sz="4" w:space="0" w:color="auto"/>
              <w:right w:val="single" w:sz="4" w:space="0" w:color="auto"/>
            </w:tcBorders>
            <w:shd w:val="clear" w:color="auto" w:fill="8DB4E2"/>
            <w:noWrap/>
            <w:vAlign w:val="center"/>
            <w:hideMark/>
          </w:tcPr>
          <w:p w14:paraId="57234441" w14:textId="5CDD19A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Holmes et al. (2009)</w:t>
            </w:r>
            <w:r w:rsidRPr="009B0F6E">
              <w:rPr>
                <w:rFonts w:ascii="Calibri" w:hAnsi="Calibri" w:cs="Calibri"/>
                <w:sz w:val="22"/>
                <w:szCs w:val="22"/>
                <w:lang w:eastAsia="it-IT"/>
              </w:rPr>
              <w:fldChar w:fldCharType="begin"/>
            </w:r>
            <w:r w:rsidRPr="009B0F6E">
              <w:rPr>
                <w:rFonts w:ascii="Calibri" w:hAnsi="Calibri" w:cs="Calibri"/>
                <w:sz w:val="22"/>
                <w:szCs w:val="22"/>
                <w:lang w:eastAsia="it-IT"/>
              </w:rPr>
              <w:instrText xml:space="preserve"> ADDIN ZOTERO_ITEM CSL_CITATION {"citationID":"ewhQGdTK","properties":{"formattedCitation":"\\super 15\\nosupersub{}","plainCitation":"15","noteIndex":0},"citationItems":[{"id":1114,"uris":["http://zotero.org/users/16203173/items/CKYPKQTB"],"itemData":{"id":1114,"type":"article-journal","container-title":"The Lancet","DOI":"10.1016/S0140-6736(09)61343-X","ISSN":"0140-6736, 1474-547X","issue":"9689","journalAbbreviation":"The Lancet","language":"English","note":"publisher: Elsevier\nPMID: 19683639","page":"534-542","source":"www.thelancet.com","title":"Percutaneous closure of the left atrial appendage versus warfarin therapy for prevention of stroke in patients with atrial fibrillation: a randomised non-inferiority trial","title-short":"Percutaneous closure of the left atrial appendage versus warfarin therapy for prevention of stroke in patients with atrial fibrillation","volume":"374","author":[{"family":"Holmes","given":"David R."},{"family":"Reddy","given":"Vivek Y."},{"family":"Turi","given":"Zoltan G."},{"family":"Doshi","given":"Shephal K."},{"family":"Sievert","given":"Horst"},{"family":"Buchbinder","given":"Maurice"},{"family":"Mullin","given":"Christopher M."},{"family":"Sick","given":"Peter"}],"issued":{"date-parts":[["2009",8,15]]}}}],"schema":"https://github.com/citation-style-language/schema/raw/master/csl-citation.json"} </w:instrText>
            </w:r>
            <w:r w:rsidRPr="009B0F6E">
              <w:rPr>
                <w:rFonts w:ascii="Calibri" w:hAnsi="Calibri" w:cs="Calibri"/>
                <w:sz w:val="22"/>
                <w:szCs w:val="22"/>
                <w:lang w:eastAsia="it-IT"/>
              </w:rPr>
              <w:fldChar w:fldCharType="separate"/>
            </w:r>
            <w:r w:rsidRPr="009B0F6E">
              <w:rPr>
                <w:rFonts w:ascii="Calibri" w:hAnsi="Calibri" w:cs="Calibri"/>
                <w:sz w:val="22"/>
                <w:szCs w:val="22"/>
                <w:vertAlign w:val="superscript"/>
              </w:rPr>
              <w:t>1</w:t>
            </w:r>
            <w:r w:rsidR="009D740F" w:rsidRPr="009B0F6E">
              <w:rPr>
                <w:rFonts w:ascii="Calibri" w:hAnsi="Calibri" w:cs="Calibri"/>
                <w:sz w:val="22"/>
                <w:szCs w:val="22"/>
                <w:vertAlign w:val="superscript"/>
              </w:rPr>
              <w:t>4</w:t>
            </w:r>
            <w:r w:rsidRPr="009B0F6E">
              <w:rPr>
                <w:rFonts w:ascii="Calibri" w:hAnsi="Calibri" w:cs="Calibri"/>
                <w:sz w:val="22"/>
                <w:szCs w:val="22"/>
                <w:lang w:eastAsia="it-IT"/>
              </w:rPr>
              <w:fldChar w:fldCharType="end"/>
            </w:r>
          </w:p>
        </w:tc>
        <w:tc>
          <w:tcPr>
            <w:tcW w:w="1456" w:type="dxa"/>
            <w:tcBorders>
              <w:top w:val="nil"/>
              <w:left w:val="nil"/>
              <w:bottom w:val="single" w:sz="4" w:space="0" w:color="auto"/>
              <w:right w:val="single" w:sz="4" w:space="0" w:color="auto"/>
            </w:tcBorders>
            <w:noWrap/>
            <w:vAlign w:val="center"/>
            <w:hideMark/>
          </w:tcPr>
          <w:p w14:paraId="7EFE61C7" w14:textId="77777777" w:rsidR="00230F4F" w:rsidRPr="009B0F6E" w:rsidRDefault="00230F4F" w:rsidP="003A7AD9">
            <w:pPr>
              <w:widowControl w:val="0"/>
              <w:rPr>
                <w:rFonts w:ascii="Calibri" w:hAnsi="Calibri" w:cs="Calibri"/>
                <w:sz w:val="22"/>
                <w:szCs w:val="22"/>
                <w:vertAlign w:val="superscript"/>
                <w:lang w:eastAsia="it-IT"/>
              </w:rPr>
            </w:pPr>
            <w:r w:rsidRPr="009B0F6E">
              <w:rPr>
                <w:rFonts w:ascii="Calibri" w:hAnsi="Calibri" w:cs="Calibri"/>
                <w:sz w:val="22"/>
                <w:szCs w:val="22"/>
                <w:lang w:eastAsia="it-IT"/>
              </w:rPr>
              <w:t>PROTECT AF</w:t>
            </w:r>
          </w:p>
        </w:tc>
        <w:tc>
          <w:tcPr>
            <w:tcW w:w="1560" w:type="dxa"/>
            <w:tcBorders>
              <w:top w:val="nil"/>
              <w:left w:val="nil"/>
              <w:bottom w:val="single" w:sz="4" w:space="0" w:color="auto"/>
              <w:right w:val="single" w:sz="4" w:space="0" w:color="auto"/>
            </w:tcBorders>
            <w:noWrap/>
            <w:vAlign w:val="center"/>
            <w:hideMark/>
          </w:tcPr>
          <w:p w14:paraId="7FFA0C45"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Watchman 2.5</w:t>
            </w:r>
          </w:p>
        </w:tc>
        <w:tc>
          <w:tcPr>
            <w:tcW w:w="992" w:type="dxa"/>
            <w:tcBorders>
              <w:top w:val="nil"/>
              <w:left w:val="nil"/>
              <w:bottom w:val="single" w:sz="4" w:space="0" w:color="auto"/>
              <w:right w:val="single" w:sz="4" w:space="0" w:color="auto"/>
            </w:tcBorders>
            <w:noWrap/>
            <w:vAlign w:val="center"/>
            <w:hideMark/>
          </w:tcPr>
          <w:p w14:paraId="36B5B25F"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2 years</w:t>
            </w:r>
          </w:p>
        </w:tc>
        <w:tc>
          <w:tcPr>
            <w:tcW w:w="850" w:type="dxa"/>
            <w:tcBorders>
              <w:top w:val="nil"/>
              <w:left w:val="nil"/>
              <w:bottom w:val="single" w:sz="4" w:space="0" w:color="auto"/>
              <w:right w:val="single" w:sz="4" w:space="0" w:color="auto"/>
            </w:tcBorders>
            <w:vAlign w:val="center"/>
            <w:hideMark/>
          </w:tcPr>
          <w:p w14:paraId="7388B15D"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91%</w:t>
            </w:r>
          </w:p>
        </w:tc>
        <w:tc>
          <w:tcPr>
            <w:tcW w:w="2694" w:type="dxa"/>
            <w:tcBorders>
              <w:top w:val="nil"/>
              <w:left w:val="nil"/>
              <w:bottom w:val="single" w:sz="4" w:space="0" w:color="auto"/>
              <w:right w:val="single" w:sz="4" w:space="0" w:color="auto"/>
            </w:tcBorders>
            <w:vAlign w:val="center"/>
            <w:hideMark/>
          </w:tcPr>
          <w:p w14:paraId="5E09283B"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Pericardial tamponade: 4.3%;</w:t>
            </w:r>
          </w:p>
          <w:p w14:paraId="20594B8F"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Pericardial effusion: 0.9%;</w:t>
            </w:r>
          </w:p>
          <w:p w14:paraId="1CB4648C"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Procedure-related stroke: 1.15%;</w:t>
            </w:r>
          </w:p>
          <w:p w14:paraId="4F822028"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Device embolization: 0.6%</w:t>
            </w:r>
          </w:p>
        </w:tc>
        <w:tc>
          <w:tcPr>
            <w:tcW w:w="2409" w:type="dxa"/>
            <w:tcBorders>
              <w:top w:val="nil"/>
              <w:left w:val="nil"/>
              <w:bottom w:val="single" w:sz="4" w:space="0" w:color="auto"/>
              <w:right w:val="single" w:sz="4" w:space="0" w:color="auto"/>
            </w:tcBorders>
            <w:noWrap/>
            <w:vAlign w:val="center"/>
            <w:hideMark/>
          </w:tcPr>
          <w:p w14:paraId="4E187B71"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8% at 12 months</w:t>
            </w:r>
          </w:p>
        </w:tc>
        <w:tc>
          <w:tcPr>
            <w:tcW w:w="1843" w:type="dxa"/>
            <w:tcBorders>
              <w:top w:val="nil"/>
              <w:left w:val="nil"/>
              <w:bottom w:val="single" w:sz="4" w:space="0" w:color="auto"/>
              <w:right w:val="single" w:sz="4" w:space="0" w:color="auto"/>
            </w:tcBorders>
            <w:noWrap/>
            <w:vAlign w:val="center"/>
            <w:hideMark/>
          </w:tcPr>
          <w:p w14:paraId="1C4480E2"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NA</w:t>
            </w:r>
          </w:p>
        </w:tc>
        <w:tc>
          <w:tcPr>
            <w:tcW w:w="992" w:type="dxa"/>
            <w:tcBorders>
              <w:top w:val="nil"/>
              <w:left w:val="nil"/>
              <w:bottom w:val="single" w:sz="4" w:space="0" w:color="auto"/>
              <w:right w:val="single" w:sz="4" w:space="0" w:color="auto"/>
            </w:tcBorders>
            <w:noWrap/>
            <w:vAlign w:val="center"/>
            <w:hideMark/>
          </w:tcPr>
          <w:p w14:paraId="0B1127FC"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0.6%</w:t>
            </w:r>
          </w:p>
        </w:tc>
        <w:tc>
          <w:tcPr>
            <w:tcW w:w="2383" w:type="dxa"/>
            <w:tcBorders>
              <w:top w:val="nil"/>
              <w:left w:val="nil"/>
              <w:bottom w:val="single" w:sz="4" w:space="0" w:color="auto"/>
              <w:right w:val="single" w:sz="4" w:space="0" w:color="auto"/>
            </w:tcBorders>
            <w:vAlign w:val="center"/>
            <w:hideMark/>
          </w:tcPr>
          <w:p w14:paraId="2C37A5C5"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Ischemic stroke: LAAC 1.3 events per 100 patient-years vs. warfarin 1.6 events per 100 patient-years;</w:t>
            </w:r>
          </w:p>
          <w:p w14:paraId="6DDF4B62"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Hemorrhagic stroke: LAAC 0.2% vs. warfarin 2.5%</w:t>
            </w:r>
          </w:p>
        </w:tc>
        <w:tc>
          <w:tcPr>
            <w:tcW w:w="2244" w:type="dxa"/>
            <w:tcBorders>
              <w:top w:val="nil"/>
              <w:left w:val="nil"/>
              <w:bottom w:val="single" w:sz="4" w:space="0" w:color="auto"/>
              <w:right w:val="single" w:sz="4" w:space="0" w:color="auto"/>
            </w:tcBorders>
            <w:noWrap/>
            <w:vAlign w:val="center"/>
            <w:hideMark/>
          </w:tcPr>
          <w:p w14:paraId="2A5BE01F"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LAAC 3.5% vs. warfarin 4.1%</w:t>
            </w:r>
          </w:p>
        </w:tc>
        <w:tc>
          <w:tcPr>
            <w:tcW w:w="2127" w:type="dxa"/>
            <w:tcBorders>
              <w:top w:val="nil"/>
              <w:left w:val="nil"/>
              <w:bottom w:val="single" w:sz="4" w:space="0" w:color="auto"/>
              <w:right w:val="single" w:sz="4" w:space="0" w:color="auto"/>
            </w:tcBorders>
            <w:vAlign w:val="center"/>
            <w:hideMark/>
          </w:tcPr>
          <w:p w14:paraId="3BB29011" w14:textId="77777777" w:rsidR="00CD364B" w:rsidRPr="009B0F6E" w:rsidRDefault="00230F4F" w:rsidP="00CD364B">
            <w:pPr>
              <w:widowControl w:val="0"/>
              <w:rPr>
                <w:rFonts w:ascii="Calibri" w:hAnsi="Calibri" w:cs="Calibri"/>
                <w:sz w:val="22"/>
                <w:szCs w:val="22"/>
                <w:lang w:eastAsia="it-IT"/>
              </w:rPr>
            </w:pPr>
            <w:r w:rsidRPr="009B0F6E">
              <w:rPr>
                <w:rFonts w:ascii="Calibri" w:hAnsi="Calibri" w:cs="Calibri"/>
                <w:sz w:val="22"/>
                <w:szCs w:val="22"/>
                <w:lang w:eastAsia="it-IT"/>
              </w:rPr>
              <w:t>LAAC 3.0% vs. warfarin 3.1% at 1 year</w:t>
            </w:r>
          </w:p>
          <w:p w14:paraId="21B1BFEF" w14:textId="4C4DB8F0" w:rsidR="00230F4F" w:rsidRPr="009B0F6E" w:rsidRDefault="00230F4F" w:rsidP="00CD364B">
            <w:pPr>
              <w:widowControl w:val="0"/>
              <w:rPr>
                <w:rFonts w:ascii="Calibri" w:hAnsi="Calibri" w:cs="Calibri"/>
                <w:sz w:val="22"/>
                <w:szCs w:val="22"/>
                <w:lang w:eastAsia="it-IT"/>
              </w:rPr>
            </w:pPr>
            <w:r w:rsidRPr="009B0F6E">
              <w:rPr>
                <w:rFonts w:ascii="Calibri" w:hAnsi="Calibri" w:cs="Calibri"/>
                <w:sz w:val="22"/>
                <w:szCs w:val="22"/>
                <w:lang w:eastAsia="it-IT"/>
              </w:rPr>
              <w:t xml:space="preserve">LAAC 5.9% vs. warfarin 9.1% at 2 years </w:t>
            </w:r>
          </w:p>
        </w:tc>
      </w:tr>
      <w:tr w:rsidR="00067B73" w:rsidRPr="009B0F6E" w14:paraId="24CC788E" w14:textId="77777777" w:rsidTr="001E0E29">
        <w:trPr>
          <w:trHeight w:val="20"/>
        </w:trPr>
        <w:tc>
          <w:tcPr>
            <w:tcW w:w="1374" w:type="dxa"/>
            <w:tcBorders>
              <w:top w:val="nil"/>
              <w:left w:val="single" w:sz="4" w:space="0" w:color="auto"/>
              <w:bottom w:val="single" w:sz="4" w:space="0" w:color="auto"/>
              <w:right w:val="single" w:sz="4" w:space="0" w:color="auto"/>
            </w:tcBorders>
            <w:shd w:val="clear" w:color="000000" w:fill="8DB4E2"/>
            <w:noWrap/>
            <w:vAlign w:val="center"/>
            <w:hideMark/>
          </w:tcPr>
          <w:p w14:paraId="602CD7C5" w14:textId="67B6B9C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Reddy et al. (2013)</w:t>
            </w:r>
            <w:r w:rsidR="009D740F" w:rsidRPr="001E0E29">
              <w:rPr>
                <w:rFonts w:ascii="Calibri" w:hAnsi="Calibri" w:cs="Calibri"/>
                <w:sz w:val="22"/>
                <w:szCs w:val="22"/>
                <w:vertAlign w:val="superscript"/>
                <w:lang w:eastAsia="it-IT"/>
              </w:rPr>
              <w:t>39</w:t>
            </w:r>
          </w:p>
        </w:tc>
        <w:tc>
          <w:tcPr>
            <w:tcW w:w="1456" w:type="dxa"/>
            <w:tcBorders>
              <w:top w:val="nil"/>
              <w:left w:val="nil"/>
              <w:bottom w:val="single" w:sz="4" w:space="0" w:color="auto"/>
              <w:right w:val="single" w:sz="4" w:space="0" w:color="auto"/>
            </w:tcBorders>
            <w:noWrap/>
            <w:vAlign w:val="center"/>
            <w:hideMark/>
          </w:tcPr>
          <w:p w14:paraId="335E92C2" w14:textId="77777777" w:rsidR="00230F4F" w:rsidRPr="009B0F6E" w:rsidRDefault="00230F4F" w:rsidP="003A7AD9">
            <w:pPr>
              <w:widowControl w:val="0"/>
              <w:rPr>
                <w:rFonts w:ascii="Calibri" w:hAnsi="Calibri" w:cs="Calibri"/>
                <w:sz w:val="22"/>
                <w:szCs w:val="22"/>
                <w:vertAlign w:val="superscript"/>
                <w:lang w:eastAsia="it-IT"/>
              </w:rPr>
            </w:pPr>
            <w:r w:rsidRPr="009B0F6E">
              <w:rPr>
                <w:rFonts w:ascii="Calibri" w:hAnsi="Calibri" w:cs="Calibri"/>
                <w:sz w:val="22"/>
                <w:szCs w:val="22"/>
                <w:lang w:eastAsia="it-IT"/>
              </w:rPr>
              <w:t>ASAP</w:t>
            </w:r>
          </w:p>
        </w:tc>
        <w:tc>
          <w:tcPr>
            <w:tcW w:w="1560" w:type="dxa"/>
            <w:tcBorders>
              <w:top w:val="nil"/>
              <w:left w:val="nil"/>
              <w:bottom w:val="single" w:sz="4" w:space="0" w:color="auto"/>
              <w:right w:val="single" w:sz="4" w:space="0" w:color="auto"/>
            </w:tcBorders>
            <w:noWrap/>
            <w:vAlign w:val="center"/>
            <w:hideMark/>
          </w:tcPr>
          <w:p w14:paraId="4E30EF6C"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Watchman 2.5</w:t>
            </w:r>
          </w:p>
        </w:tc>
        <w:tc>
          <w:tcPr>
            <w:tcW w:w="992" w:type="dxa"/>
            <w:tcBorders>
              <w:top w:val="nil"/>
              <w:left w:val="nil"/>
              <w:bottom w:val="single" w:sz="4" w:space="0" w:color="auto"/>
              <w:right w:val="single" w:sz="4" w:space="0" w:color="auto"/>
            </w:tcBorders>
            <w:noWrap/>
            <w:vAlign w:val="center"/>
            <w:hideMark/>
          </w:tcPr>
          <w:p w14:paraId="465DDEFF"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1 year</w:t>
            </w:r>
          </w:p>
        </w:tc>
        <w:tc>
          <w:tcPr>
            <w:tcW w:w="850" w:type="dxa"/>
            <w:tcBorders>
              <w:top w:val="nil"/>
              <w:left w:val="nil"/>
              <w:bottom w:val="single" w:sz="4" w:space="0" w:color="auto"/>
              <w:right w:val="single" w:sz="4" w:space="0" w:color="auto"/>
            </w:tcBorders>
            <w:noWrap/>
            <w:vAlign w:val="center"/>
            <w:hideMark/>
          </w:tcPr>
          <w:p w14:paraId="1A40B188"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94.7%</w:t>
            </w:r>
          </w:p>
        </w:tc>
        <w:tc>
          <w:tcPr>
            <w:tcW w:w="2694" w:type="dxa"/>
            <w:tcBorders>
              <w:top w:val="nil"/>
              <w:left w:val="nil"/>
              <w:bottom w:val="single" w:sz="4" w:space="0" w:color="auto"/>
              <w:right w:val="single" w:sz="4" w:space="0" w:color="auto"/>
            </w:tcBorders>
            <w:vAlign w:val="center"/>
            <w:hideMark/>
          </w:tcPr>
          <w:p w14:paraId="3EE78087"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Overall: 8.7%;</w:t>
            </w:r>
          </w:p>
          <w:p w14:paraId="523A97E1"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Pericardial tamponade: 1.3%;</w:t>
            </w:r>
          </w:p>
          <w:p w14:paraId="2CE16E9A"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Pericardial effusion: 2.0%;</w:t>
            </w:r>
          </w:p>
          <w:p w14:paraId="5F5CD7F2"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Procedure-related stroke: 0.7%;</w:t>
            </w:r>
          </w:p>
          <w:p w14:paraId="07D53C21"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Device embolization:1.3%;</w:t>
            </w:r>
          </w:p>
          <w:p w14:paraId="1A706FF8" w14:textId="59C4CB9F"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 xml:space="preserve">Femoral </w:t>
            </w:r>
            <w:r w:rsidR="005C1B38" w:rsidRPr="009B0F6E">
              <w:rPr>
                <w:rFonts w:ascii="Calibri" w:hAnsi="Calibri" w:cs="Calibri"/>
                <w:sz w:val="22"/>
                <w:szCs w:val="22"/>
                <w:lang w:eastAsia="it-IT"/>
              </w:rPr>
              <w:t>Pseudoaneurysm</w:t>
            </w:r>
            <w:r w:rsidRPr="009B0F6E">
              <w:rPr>
                <w:rFonts w:ascii="Calibri" w:hAnsi="Calibri" w:cs="Calibri"/>
                <w:sz w:val="22"/>
                <w:szCs w:val="22"/>
                <w:lang w:eastAsia="it-IT"/>
              </w:rPr>
              <w:t>: 0.7%;</w:t>
            </w:r>
          </w:p>
          <w:p w14:paraId="6684367D"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Femoral hematoma/bleeding: 1.3%</w:t>
            </w:r>
          </w:p>
        </w:tc>
        <w:tc>
          <w:tcPr>
            <w:tcW w:w="2409" w:type="dxa"/>
            <w:tcBorders>
              <w:top w:val="nil"/>
              <w:left w:val="nil"/>
              <w:bottom w:val="single" w:sz="4" w:space="0" w:color="auto"/>
              <w:right w:val="single" w:sz="4" w:space="0" w:color="auto"/>
            </w:tcBorders>
            <w:noWrap/>
            <w:vAlign w:val="center"/>
            <w:hideMark/>
          </w:tcPr>
          <w:p w14:paraId="792B387E"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NA</w:t>
            </w:r>
          </w:p>
        </w:tc>
        <w:tc>
          <w:tcPr>
            <w:tcW w:w="1843" w:type="dxa"/>
            <w:tcBorders>
              <w:top w:val="nil"/>
              <w:left w:val="nil"/>
              <w:bottom w:val="single" w:sz="4" w:space="0" w:color="auto"/>
              <w:right w:val="single" w:sz="4" w:space="0" w:color="auto"/>
            </w:tcBorders>
            <w:noWrap/>
            <w:vAlign w:val="center"/>
            <w:hideMark/>
          </w:tcPr>
          <w:p w14:paraId="0A2326DF"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4%</w:t>
            </w:r>
          </w:p>
        </w:tc>
        <w:tc>
          <w:tcPr>
            <w:tcW w:w="992" w:type="dxa"/>
            <w:tcBorders>
              <w:top w:val="nil"/>
              <w:left w:val="nil"/>
              <w:bottom w:val="single" w:sz="4" w:space="0" w:color="auto"/>
              <w:right w:val="single" w:sz="4" w:space="0" w:color="auto"/>
            </w:tcBorders>
            <w:noWrap/>
            <w:vAlign w:val="center"/>
            <w:hideMark/>
          </w:tcPr>
          <w:p w14:paraId="0196FE79"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1.3%</w:t>
            </w:r>
          </w:p>
        </w:tc>
        <w:tc>
          <w:tcPr>
            <w:tcW w:w="2383" w:type="dxa"/>
            <w:tcBorders>
              <w:top w:val="nil"/>
              <w:left w:val="nil"/>
              <w:bottom w:val="single" w:sz="4" w:space="0" w:color="auto"/>
              <w:right w:val="single" w:sz="4" w:space="0" w:color="auto"/>
            </w:tcBorders>
            <w:vAlign w:val="center"/>
            <w:hideMark/>
          </w:tcPr>
          <w:p w14:paraId="18AD2A0C"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Ischemic Stroke: 1.7%;</w:t>
            </w:r>
          </w:p>
          <w:p w14:paraId="4632C9C7"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Hemorrhagic stroke: 0.6%</w:t>
            </w:r>
          </w:p>
        </w:tc>
        <w:tc>
          <w:tcPr>
            <w:tcW w:w="2244" w:type="dxa"/>
            <w:tcBorders>
              <w:top w:val="nil"/>
              <w:left w:val="nil"/>
              <w:bottom w:val="single" w:sz="4" w:space="0" w:color="auto"/>
              <w:right w:val="single" w:sz="4" w:space="0" w:color="auto"/>
            </w:tcBorders>
            <w:noWrap/>
            <w:vAlign w:val="center"/>
            <w:hideMark/>
          </w:tcPr>
          <w:p w14:paraId="2573BE35"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NA</w:t>
            </w:r>
          </w:p>
        </w:tc>
        <w:tc>
          <w:tcPr>
            <w:tcW w:w="2127" w:type="dxa"/>
            <w:tcBorders>
              <w:top w:val="nil"/>
              <w:left w:val="nil"/>
              <w:bottom w:val="single" w:sz="4" w:space="0" w:color="auto"/>
              <w:right w:val="single" w:sz="4" w:space="0" w:color="auto"/>
            </w:tcBorders>
            <w:noWrap/>
            <w:vAlign w:val="center"/>
            <w:hideMark/>
          </w:tcPr>
          <w:p w14:paraId="6454D06B"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5% at 12 months</w:t>
            </w:r>
          </w:p>
        </w:tc>
      </w:tr>
      <w:tr w:rsidR="00067B73" w:rsidRPr="009B0F6E" w14:paraId="7013FEAD" w14:textId="77777777" w:rsidTr="001E0E29">
        <w:trPr>
          <w:trHeight w:val="20"/>
        </w:trPr>
        <w:tc>
          <w:tcPr>
            <w:tcW w:w="1374" w:type="dxa"/>
            <w:tcBorders>
              <w:top w:val="nil"/>
              <w:left w:val="single" w:sz="4" w:space="0" w:color="auto"/>
              <w:bottom w:val="single" w:sz="4" w:space="0" w:color="auto"/>
              <w:right w:val="single" w:sz="4" w:space="0" w:color="auto"/>
            </w:tcBorders>
            <w:shd w:val="clear" w:color="000000" w:fill="8DB4E2"/>
            <w:noWrap/>
            <w:vAlign w:val="center"/>
            <w:hideMark/>
          </w:tcPr>
          <w:p w14:paraId="5339B7B3" w14:textId="6801FBE1"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Holmes et al. (2014)</w:t>
            </w:r>
            <w:r w:rsidRPr="009B0F6E">
              <w:rPr>
                <w:rFonts w:ascii="Calibri" w:hAnsi="Calibri" w:cs="Calibri"/>
                <w:sz w:val="22"/>
                <w:szCs w:val="22"/>
                <w:lang w:eastAsia="it-IT"/>
              </w:rPr>
              <w:fldChar w:fldCharType="begin"/>
            </w:r>
            <w:r w:rsidRPr="009B0F6E">
              <w:rPr>
                <w:rFonts w:ascii="Calibri" w:hAnsi="Calibri" w:cs="Calibri"/>
                <w:sz w:val="22"/>
                <w:szCs w:val="22"/>
                <w:lang w:eastAsia="it-IT"/>
              </w:rPr>
              <w:instrText xml:space="preserve"> ADDIN ZOTERO_ITEM CSL_CITATION {"citationID":"T86OFQFn","properties":{"formattedCitation":"\\super 17\\nosupersub{}","plainCitation":"17","noteIndex":0},"citationItems":[{"id":1127,"uris":["http://zotero.org/users/16203173/items/IEJLG5D2"],"itemData":{"id":1127,"type":"article-journal","abstract":"BACKGROUND: In the PROTECT AF (Watchman Left Atrial Appendage Closure Technology for Embolic Protection in Patients With Atrial Fibrillation) trial that evaluated patients with nonvalvular atrial fibrillation (NVAF), left atrial appendage (LAA) occlusion was noninferior to warfarin for stroke prevention, but a periprocedural safety hazard was identified.\nOBJECTIVES: The goal of this study was to assess the safety and efficacy of LAA occlusion for stroke prevention in patients with NVAF compared with long-term warfarin therapy.\nMETHODS: This randomized trial further assessed the efficacy and safety of the Watchman device. Patients with NVAF who had a CHADS2 (congestive heart failure, hypertension, age &gt;75 years, diabetes mellitus, and previous stroke/transient ischemic attack) score ≥2 or 1 and another risk factor were eligible. Patients were randomly assigned (in a 2:1 ratio) to undergo LAA occlusion and subsequent discontinuation of warfarin (intervention group, n = 269) or receive chronic warfarin therapy (control group, n = 138). Two efficacy and 1 safety coprimary endpoints were assessed.\nRESULTS: At 18 months, the rate of the first coprimary efficacy endpoint (composite of stroke, systemic embolism [SE], and cardiovascular/unexplained death) was 0.064 in the device group versus 0.063 in the control group (rate ratio 1.07 [95% credible interval (CrI): 0.57 to 1.89]) and did not achieve the prespecified criteria noninferiority (upper boundary of 95% CrI ≥1.75). The rate for the second coprimary efficacy endpoint (stroke or SE &gt;7 days' postrandomization) was 0.0253 versus 0.0200 (risk difference 0.0053 [95% CrI: -0.0190 to 0.0273]), achieving noninferiority. Early safety events occurred in 2.2% of the Watchman arm, significantly lower than in PROTECT AF, satisfying the pre-specified safety performance goal. Using a broader, more inclusive definition of adverse effects, these still were lower in PREVAIL (Watchman LAA Closure Device in Patients With Atrial Fibrillation Versus Long Term Warfarin Therapy) trial than in PROTECT AF (4.2% vs. 8.7%; p = 0.004). Pericardial effusions requiring surgical repair decreased from 1.6% to 0.4% (p = 0.027), and those requiring pericardiocentesis decreased from 2.9% to 1.5% (p = 0.36), although the number of events was small.\nCONCLUSIONS: In this trial, LAA occlusion was noninferior to warfarin for ischemic stroke prevention or SE &gt;7 days' post-procedure. Although noninferiority was not achieved for overall efficacy, event rates were low and numerically comparable in both arms. Procedural safety has significantly improved. This trial provides additional data that LAA occlusion is a reasonable alternative to warfarin therapy for stroke prevention in patients with NVAF who do not have an absolute contraindication to short-term warfarin therapy.","container-title":"Journal of the American College of Cardiology","DOI":"10.1016/j.jacc.2014.04.029","ISSN":"1558-3597","issue":"1","journalAbbreviation":"J Am Coll Cardiol","language":"eng","note":"PMID: 24998121","page":"1-12","source":"PubMed","title":"Prospective randomized evaluation of the Watchman Left Atrial Appendage Closure device in patients with atrial fibrillation versus long-term warfarin therapy: the PREVAIL trial","title-short":"Prospective randomized evaluation of the Watchman Left Atrial Appendage Closure device in patients with atrial fibrillation versus long-term warfarin therapy","volume":"64","author":[{"family":"Holmes","given":"David R."},{"family":"Kar","given":"Saibal"},{"family":"Price","given":"Matthew J."},{"family":"Whisenant","given":"Brian"},{"family":"Sievert","given":"Horst"},{"family":"Doshi","given":"Shephal K."},{"family":"Huber","given":"Kenneth"},{"family":"Reddy","given":"Vivek Y."}],"issued":{"date-parts":[["2014",7,8]]}}}],"schema":"https://github.com/citation-style-language/schema/raw/master/csl-citation.json"} </w:instrText>
            </w:r>
            <w:r w:rsidRPr="009B0F6E">
              <w:rPr>
                <w:rFonts w:ascii="Calibri" w:hAnsi="Calibri" w:cs="Calibri"/>
                <w:sz w:val="22"/>
                <w:szCs w:val="22"/>
                <w:lang w:eastAsia="it-IT"/>
              </w:rPr>
              <w:fldChar w:fldCharType="separate"/>
            </w:r>
            <w:r w:rsidRPr="009B0F6E">
              <w:rPr>
                <w:rFonts w:ascii="Calibri" w:hAnsi="Calibri" w:cs="Calibri"/>
                <w:sz w:val="22"/>
                <w:szCs w:val="22"/>
                <w:vertAlign w:val="superscript"/>
              </w:rPr>
              <w:t>1</w:t>
            </w:r>
            <w:r w:rsidR="00C83988" w:rsidRPr="009B0F6E">
              <w:rPr>
                <w:rFonts w:ascii="Calibri" w:hAnsi="Calibri" w:cs="Calibri"/>
                <w:sz w:val="22"/>
                <w:szCs w:val="22"/>
                <w:vertAlign w:val="superscript"/>
              </w:rPr>
              <w:t>6</w:t>
            </w:r>
            <w:r w:rsidRPr="009B0F6E">
              <w:rPr>
                <w:rFonts w:ascii="Calibri" w:hAnsi="Calibri" w:cs="Calibri"/>
                <w:sz w:val="22"/>
                <w:szCs w:val="22"/>
                <w:lang w:eastAsia="it-IT"/>
              </w:rPr>
              <w:fldChar w:fldCharType="end"/>
            </w:r>
          </w:p>
        </w:tc>
        <w:tc>
          <w:tcPr>
            <w:tcW w:w="1456" w:type="dxa"/>
            <w:tcBorders>
              <w:top w:val="nil"/>
              <w:left w:val="nil"/>
              <w:bottom w:val="single" w:sz="4" w:space="0" w:color="auto"/>
              <w:right w:val="single" w:sz="4" w:space="0" w:color="auto"/>
            </w:tcBorders>
            <w:noWrap/>
            <w:vAlign w:val="center"/>
            <w:hideMark/>
          </w:tcPr>
          <w:p w14:paraId="68493F3E" w14:textId="77777777" w:rsidR="00230F4F" w:rsidRPr="009B0F6E" w:rsidRDefault="00230F4F" w:rsidP="003A7AD9">
            <w:pPr>
              <w:widowControl w:val="0"/>
              <w:rPr>
                <w:rFonts w:ascii="Calibri" w:hAnsi="Calibri" w:cs="Calibri"/>
                <w:sz w:val="22"/>
                <w:szCs w:val="22"/>
                <w:vertAlign w:val="superscript"/>
                <w:lang w:eastAsia="it-IT"/>
              </w:rPr>
            </w:pPr>
            <w:r w:rsidRPr="009B0F6E">
              <w:rPr>
                <w:rFonts w:ascii="Calibri" w:hAnsi="Calibri" w:cs="Calibri"/>
                <w:sz w:val="22"/>
                <w:szCs w:val="22"/>
                <w:lang w:eastAsia="it-IT"/>
              </w:rPr>
              <w:t>PREVAIL</w:t>
            </w:r>
          </w:p>
        </w:tc>
        <w:tc>
          <w:tcPr>
            <w:tcW w:w="1560" w:type="dxa"/>
            <w:tcBorders>
              <w:top w:val="nil"/>
              <w:left w:val="nil"/>
              <w:bottom w:val="single" w:sz="4" w:space="0" w:color="auto"/>
              <w:right w:val="single" w:sz="4" w:space="0" w:color="auto"/>
            </w:tcBorders>
            <w:noWrap/>
            <w:vAlign w:val="center"/>
            <w:hideMark/>
          </w:tcPr>
          <w:p w14:paraId="5D0C18F8"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Watchman 2.5</w:t>
            </w:r>
          </w:p>
        </w:tc>
        <w:tc>
          <w:tcPr>
            <w:tcW w:w="992" w:type="dxa"/>
            <w:tcBorders>
              <w:top w:val="nil"/>
              <w:left w:val="nil"/>
              <w:bottom w:val="single" w:sz="4" w:space="0" w:color="auto"/>
              <w:right w:val="single" w:sz="4" w:space="0" w:color="auto"/>
            </w:tcBorders>
            <w:noWrap/>
            <w:vAlign w:val="center"/>
            <w:hideMark/>
          </w:tcPr>
          <w:p w14:paraId="3426CE11"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1 year</w:t>
            </w:r>
          </w:p>
        </w:tc>
        <w:tc>
          <w:tcPr>
            <w:tcW w:w="850" w:type="dxa"/>
            <w:tcBorders>
              <w:top w:val="nil"/>
              <w:left w:val="nil"/>
              <w:bottom w:val="single" w:sz="4" w:space="0" w:color="auto"/>
              <w:right w:val="single" w:sz="4" w:space="0" w:color="auto"/>
            </w:tcBorders>
            <w:noWrap/>
            <w:vAlign w:val="center"/>
            <w:hideMark/>
          </w:tcPr>
          <w:p w14:paraId="4FBC3233"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95.1%</w:t>
            </w:r>
          </w:p>
        </w:tc>
        <w:tc>
          <w:tcPr>
            <w:tcW w:w="2694" w:type="dxa"/>
            <w:tcBorders>
              <w:top w:val="nil"/>
              <w:left w:val="nil"/>
              <w:bottom w:val="single" w:sz="4" w:space="0" w:color="auto"/>
              <w:right w:val="single" w:sz="4" w:space="0" w:color="auto"/>
            </w:tcBorders>
            <w:vAlign w:val="center"/>
            <w:hideMark/>
          </w:tcPr>
          <w:p w14:paraId="01DEA812"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Pericardial tamponade: 1.9%;</w:t>
            </w:r>
          </w:p>
          <w:p w14:paraId="55E27056"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Procedure-related stroke: 0.37%;</w:t>
            </w:r>
          </w:p>
          <w:p w14:paraId="6AFC7D1E"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Major bleeding: 0.4%;</w:t>
            </w:r>
          </w:p>
          <w:p w14:paraId="7358CBA0"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Device embolization: 0.7%</w:t>
            </w:r>
          </w:p>
        </w:tc>
        <w:tc>
          <w:tcPr>
            <w:tcW w:w="2409" w:type="dxa"/>
            <w:tcBorders>
              <w:top w:val="nil"/>
              <w:left w:val="nil"/>
              <w:bottom w:val="single" w:sz="4" w:space="0" w:color="auto"/>
              <w:right w:val="single" w:sz="4" w:space="0" w:color="auto"/>
            </w:tcBorders>
            <w:noWrap/>
            <w:vAlign w:val="center"/>
            <w:hideMark/>
          </w:tcPr>
          <w:p w14:paraId="3088B056"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NA</w:t>
            </w:r>
          </w:p>
        </w:tc>
        <w:tc>
          <w:tcPr>
            <w:tcW w:w="1843" w:type="dxa"/>
            <w:tcBorders>
              <w:top w:val="nil"/>
              <w:left w:val="nil"/>
              <w:bottom w:val="single" w:sz="4" w:space="0" w:color="auto"/>
              <w:right w:val="single" w:sz="4" w:space="0" w:color="auto"/>
            </w:tcBorders>
            <w:noWrap/>
            <w:vAlign w:val="center"/>
            <w:hideMark/>
          </w:tcPr>
          <w:p w14:paraId="06E1ACC9"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NA</w:t>
            </w:r>
          </w:p>
        </w:tc>
        <w:tc>
          <w:tcPr>
            <w:tcW w:w="992" w:type="dxa"/>
            <w:tcBorders>
              <w:top w:val="nil"/>
              <w:left w:val="nil"/>
              <w:bottom w:val="single" w:sz="4" w:space="0" w:color="auto"/>
              <w:right w:val="single" w:sz="4" w:space="0" w:color="auto"/>
            </w:tcBorders>
            <w:noWrap/>
            <w:vAlign w:val="center"/>
            <w:hideMark/>
          </w:tcPr>
          <w:p w14:paraId="1AAE50D2"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0.7%</w:t>
            </w:r>
          </w:p>
        </w:tc>
        <w:tc>
          <w:tcPr>
            <w:tcW w:w="2383" w:type="dxa"/>
            <w:tcBorders>
              <w:top w:val="nil"/>
              <w:left w:val="nil"/>
              <w:bottom w:val="single" w:sz="4" w:space="0" w:color="auto"/>
              <w:right w:val="single" w:sz="4" w:space="0" w:color="auto"/>
            </w:tcBorders>
            <w:vAlign w:val="center"/>
            <w:hideMark/>
          </w:tcPr>
          <w:p w14:paraId="2C5F4BCD"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Ischemic stroke: LAAC 1.9% vs. control 0.7%;</w:t>
            </w:r>
          </w:p>
          <w:p w14:paraId="5EEBC433"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 xml:space="preserve">Hemorrhagic stroke: LAAC 0.4% vs. control 0%; Systemic embolism: LAAC 0.4% vs. control 0% </w:t>
            </w:r>
          </w:p>
        </w:tc>
        <w:tc>
          <w:tcPr>
            <w:tcW w:w="2244" w:type="dxa"/>
            <w:tcBorders>
              <w:top w:val="nil"/>
              <w:left w:val="nil"/>
              <w:bottom w:val="single" w:sz="4" w:space="0" w:color="auto"/>
              <w:right w:val="single" w:sz="4" w:space="0" w:color="auto"/>
            </w:tcBorders>
            <w:noWrap/>
            <w:vAlign w:val="center"/>
            <w:hideMark/>
          </w:tcPr>
          <w:p w14:paraId="15D2B25F"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0.4%</w:t>
            </w:r>
          </w:p>
        </w:tc>
        <w:tc>
          <w:tcPr>
            <w:tcW w:w="2127" w:type="dxa"/>
            <w:tcBorders>
              <w:top w:val="nil"/>
              <w:left w:val="nil"/>
              <w:bottom w:val="single" w:sz="4" w:space="0" w:color="auto"/>
              <w:right w:val="single" w:sz="4" w:space="0" w:color="auto"/>
            </w:tcBorders>
            <w:vAlign w:val="center"/>
            <w:hideMark/>
          </w:tcPr>
          <w:p w14:paraId="4F1191D2"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LAAC 2.6% vs. control 2.2% at 12 months</w:t>
            </w:r>
          </w:p>
        </w:tc>
      </w:tr>
      <w:tr w:rsidR="00067B73" w:rsidRPr="009B0F6E" w14:paraId="112E4ED3" w14:textId="77777777" w:rsidTr="001E0E29">
        <w:trPr>
          <w:trHeight w:val="20"/>
        </w:trPr>
        <w:tc>
          <w:tcPr>
            <w:tcW w:w="1374" w:type="dxa"/>
            <w:tcBorders>
              <w:top w:val="nil"/>
              <w:left w:val="single" w:sz="4" w:space="0" w:color="auto"/>
              <w:bottom w:val="single" w:sz="4" w:space="0" w:color="auto"/>
              <w:right w:val="single" w:sz="4" w:space="0" w:color="auto"/>
            </w:tcBorders>
            <w:shd w:val="clear" w:color="000000" w:fill="8DB4E2"/>
            <w:noWrap/>
            <w:vAlign w:val="center"/>
            <w:hideMark/>
          </w:tcPr>
          <w:p w14:paraId="4A1E2770" w14:textId="2F28D8DB"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Reddy et al. (2017)</w:t>
            </w:r>
            <w:r w:rsidR="00C83988" w:rsidRPr="001E0E29">
              <w:rPr>
                <w:rFonts w:ascii="Calibri" w:hAnsi="Calibri" w:cs="Calibri"/>
                <w:sz w:val="22"/>
                <w:szCs w:val="22"/>
                <w:vertAlign w:val="superscript"/>
                <w:lang w:eastAsia="it-IT"/>
              </w:rPr>
              <w:t>17</w:t>
            </w:r>
          </w:p>
        </w:tc>
        <w:tc>
          <w:tcPr>
            <w:tcW w:w="1456" w:type="dxa"/>
            <w:tcBorders>
              <w:top w:val="nil"/>
              <w:left w:val="nil"/>
              <w:bottom w:val="single" w:sz="4" w:space="0" w:color="auto"/>
              <w:right w:val="single" w:sz="4" w:space="0" w:color="auto"/>
            </w:tcBorders>
            <w:noWrap/>
            <w:vAlign w:val="center"/>
            <w:hideMark/>
          </w:tcPr>
          <w:p w14:paraId="01DBBF72"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5-Year Outcomes (PROTECT AF &amp; PREVAIL)</w:t>
            </w:r>
          </w:p>
        </w:tc>
        <w:tc>
          <w:tcPr>
            <w:tcW w:w="1560" w:type="dxa"/>
            <w:tcBorders>
              <w:top w:val="nil"/>
              <w:left w:val="nil"/>
              <w:bottom w:val="single" w:sz="4" w:space="0" w:color="auto"/>
              <w:right w:val="single" w:sz="4" w:space="0" w:color="auto"/>
            </w:tcBorders>
            <w:noWrap/>
            <w:vAlign w:val="center"/>
            <w:hideMark/>
          </w:tcPr>
          <w:p w14:paraId="664C1E07"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Watchman 2.5</w:t>
            </w:r>
          </w:p>
        </w:tc>
        <w:tc>
          <w:tcPr>
            <w:tcW w:w="992" w:type="dxa"/>
            <w:tcBorders>
              <w:top w:val="nil"/>
              <w:left w:val="nil"/>
              <w:bottom w:val="single" w:sz="4" w:space="0" w:color="auto"/>
              <w:right w:val="single" w:sz="4" w:space="0" w:color="auto"/>
            </w:tcBorders>
            <w:noWrap/>
            <w:vAlign w:val="center"/>
            <w:hideMark/>
          </w:tcPr>
          <w:p w14:paraId="1128D36E"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5 years</w:t>
            </w:r>
          </w:p>
        </w:tc>
        <w:tc>
          <w:tcPr>
            <w:tcW w:w="850" w:type="dxa"/>
            <w:tcBorders>
              <w:top w:val="nil"/>
              <w:left w:val="nil"/>
              <w:bottom w:val="single" w:sz="4" w:space="0" w:color="auto"/>
              <w:right w:val="single" w:sz="4" w:space="0" w:color="auto"/>
            </w:tcBorders>
            <w:noWrap/>
            <w:vAlign w:val="center"/>
            <w:hideMark/>
          </w:tcPr>
          <w:p w14:paraId="6643E81E"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NA</w:t>
            </w:r>
          </w:p>
        </w:tc>
        <w:tc>
          <w:tcPr>
            <w:tcW w:w="2694" w:type="dxa"/>
            <w:tcBorders>
              <w:top w:val="nil"/>
              <w:left w:val="nil"/>
              <w:bottom w:val="single" w:sz="4" w:space="0" w:color="auto"/>
              <w:right w:val="single" w:sz="4" w:space="0" w:color="auto"/>
            </w:tcBorders>
            <w:noWrap/>
            <w:vAlign w:val="center"/>
            <w:hideMark/>
          </w:tcPr>
          <w:p w14:paraId="562CB9D6"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NA</w:t>
            </w:r>
          </w:p>
        </w:tc>
        <w:tc>
          <w:tcPr>
            <w:tcW w:w="2409" w:type="dxa"/>
            <w:tcBorders>
              <w:top w:val="nil"/>
              <w:left w:val="nil"/>
              <w:bottom w:val="single" w:sz="4" w:space="0" w:color="auto"/>
              <w:right w:val="single" w:sz="4" w:space="0" w:color="auto"/>
            </w:tcBorders>
            <w:noWrap/>
            <w:vAlign w:val="center"/>
            <w:hideMark/>
          </w:tcPr>
          <w:p w14:paraId="0CE23903"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NA</w:t>
            </w:r>
          </w:p>
        </w:tc>
        <w:tc>
          <w:tcPr>
            <w:tcW w:w="1843" w:type="dxa"/>
            <w:tcBorders>
              <w:top w:val="nil"/>
              <w:left w:val="nil"/>
              <w:bottom w:val="single" w:sz="4" w:space="0" w:color="auto"/>
              <w:right w:val="single" w:sz="4" w:space="0" w:color="auto"/>
            </w:tcBorders>
            <w:noWrap/>
            <w:vAlign w:val="center"/>
            <w:hideMark/>
          </w:tcPr>
          <w:p w14:paraId="5DB1DBA4"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NA</w:t>
            </w:r>
          </w:p>
        </w:tc>
        <w:tc>
          <w:tcPr>
            <w:tcW w:w="992" w:type="dxa"/>
            <w:tcBorders>
              <w:top w:val="nil"/>
              <w:left w:val="nil"/>
              <w:bottom w:val="single" w:sz="4" w:space="0" w:color="auto"/>
              <w:right w:val="single" w:sz="4" w:space="0" w:color="auto"/>
            </w:tcBorders>
            <w:noWrap/>
            <w:vAlign w:val="center"/>
            <w:hideMark/>
          </w:tcPr>
          <w:p w14:paraId="0B43FB39"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 xml:space="preserve">NA </w:t>
            </w:r>
          </w:p>
        </w:tc>
        <w:tc>
          <w:tcPr>
            <w:tcW w:w="2383" w:type="dxa"/>
            <w:tcBorders>
              <w:top w:val="nil"/>
              <w:left w:val="nil"/>
              <w:bottom w:val="single" w:sz="4" w:space="0" w:color="auto"/>
              <w:right w:val="single" w:sz="4" w:space="0" w:color="auto"/>
            </w:tcBorders>
            <w:vAlign w:val="center"/>
            <w:hideMark/>
          </w:tcPr>
          <w:p w14:paraId="4A09689D"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Overall: LAAC 1.7% vs. control 1.8%, P = 0.87;</w:t>
            </w:r>
          </w:p>
          <w:p w14:paraId="65FF1DA2"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Ischemic stroke or systemic embolism: LAAC 1.6% vs. control 0.95%, P = 0.08;</w:t>
            </w:r>
          </w:p>
          <w:p w14:paraId="0720BE73"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Hemorrhagic stroke: LAAC 0.17% vs. control 0.87%, P = 0.0022;</w:t>
            </w:r>
          </w:p>
          <w:p w14:paraId="0E36F927"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Ischemic stroke or systemic embolism &gt;7 days: LAAC 1.3% vs. control 0.95%, P = 0.28</w:t>
            </w:r>
          </w:p>
        </w:tc>
        <w:tc>
          <w:tcPr>
            <w:tcW w:w="2244" w:type="dxa"/>
            <w:tcBorders>
              <w:top w:val="nil"/>
              <w:left w:val="nil"/>
              <w:bottom w:val="single" w:sz="4" w:space="0" w:color="auto"/>
              <w:right w:val="single" w:sz="4" w:space="0" w:color="auto"/>
            </w:tcBorders>
            <w:vAlign w:val="center"/>
            <w:hideMark/>
          </w:tcPr>
          <w:p w14:paraId="4BEF8BC0" w14:textId="77777777" w:rsidR="00CD364B" w:rsidRPr="009B0F6E" w:rsidRDefault="00230F4F" w:rsidP="00CD364B">
            <w:pPr>
              <w:widowControl w:val="0"/>
              <w:rPr>
                <w:rFonts w:ascii="Calibri" w:hAnsi="Calibri" w:cs="Calibri"/>
                <w:sz w:val="22"/>
                <w:szCs w:val="22"/>
                <w:lang w:eastAsia="it-IT"/>
              </w:rPr>
            </w:pPr>
            <w:r w:rsidRPr="009B0F6E">
              <w:rPr>
                <w:rFonts w:ascii="Calibri" w:hAnsi="Calibri" w:cs="Calibri"/>
                <w:sz w:val="22"/>
                <w:szCs w:val="22"/>
                <w:lang w:eastAsia="it-IT"/>
              </w:rPr>
              <w:t>Major bleeding: LAAC 3.1% vs. control 3.5%, P = 0.60</w:t>
            </w:r>
          </w:p>
          <w:p w14:paraId="6E01098F" w14:textId="3FD12196" w:rsidR="00230F4F" w:rsidRPr="009B0F6E" w:rsidRDefault="00230F4F" w:rsidP="00CD364B">
            <w:pPr>
              <w:widowControl w:val="0"/>
              <w:rPr>
                <w:rFonts w:ascii="Calibri" w:hAnsi="Calibri" w:cs="Calibri"/>
                <w:sz w:val="22"/>
                <w:szCs w:val="22"/>
                <w:lang w:eastAsia="it-IT"/>
              </w:rPr>
            </w:pPr>
            <w:r w:rsidRPr="009B0F6E">
              <w:rPr>
                <w:rFonts w:ascii="Calibri" w:hAnsi="Calibri" w:cs="Calibri"/>
                <w:sz w:val="22"/>
                <w:szCs w:val="22"/>
                <w:lang w:eastAsia="it-IT"/>
              </w:rPr>
              <w:t>Major bleeding, non-procedure-related: LAAC 1.7% vs. control 3.6%, P = 0.0003</w:t>
            </w:r>
          </w:p>
        </w:tc>
        <w:tc>
          <w:tcPr>
            <w:tcW w:w="2127" w:type="dxa"/>
            <w:tcBorders>
              <w:top w:val="nil"/>
              <w:left w:val="nil"/>
              <w:bottom w:val="single" w:sz="4" w:space="0" w:color="auto"/>
              <w:right w:val="single" w:sz="4" w:space="0" w:color="auto"/>
            </w:tcBorders>
            <w:vAlign w:val="center"/>
            <w:hideMark/>
          </w:tcPr>
          <w:p w14:paraId="38D89C39"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All-cause: LAAC 3.6% for LAAC group vs. control 4.9% or control group, P = 0.035;</w:t>
            </w:r>
          </w:p>
          <w:p w14:paraId="68EE187C"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 xml:space="preserve">CV/unexplained: LAAC 1.3% vs. control 2.2%, P = 0.027 </w:t>
            </w:r>
          </w:p>
        </w:tc>
      </w:tr>
      <w:tr w:rsidR="00067B73" w:rsidRPr="009B0F6E" w14:paraId="43E89CAD" w14:textId="77777777" w:rsidTr="001E0E29">
        <w:trPr>
          <w:trHeight w:val="20"/>
        </w:trPr>
        <w:tc>
          <w:tcPr>
            <w:tcW w:w="1374" w:type="dxa"/>
            <w:tcBorders>
              <w:top w:val="nil"/>
              <w:left w:val="single" w:sz="4" w:space="0" w:color="auto"/>
              <w:bottom w:val="single" w:sz="4" w:space="0" w:color="auto"/>
              <w:right w:val="single" w:sz="4" w:space="0" w:color="auto"/>
            </w:tcBorders>
            <w:shd w:val="clear" w:color="000000" w:fill="8DB4E2"/>
            <w:noWrap/>
            <w:vAlign w:val="center"/>
            <w:hideMark/>
          </w:tcPr>
          <w:p w14:paraId="3892BF35" w14:textId="4D141589"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Landmesser</w:t>
            </w:r>
            <w:r w:rsidR="00C44DE5" w:rsidRPr="009B0F6E">
              <w:rPr>
                <w:rFonts w:ascii="Calibri" w:hAnsi="Calibri" w:cs="Calibri"/>
                <w:sz w:val="22"/>
                <w:szCs w:val="22"/>
                <w:lang w:eastAsia="it-IT"/>
              </w:rPr>
              <w:t xml:space="preserve"> et al.</w:t>
            </w:r>
            <w:r w:rsidRPr="009B0F6E">
              <w:rPr>
                <w:rFonts w:ascii="Calibri" w:hAnsi="Calibri" w:cs="Calibri"/>
                <w:sz w:val="22"/>
                <w:szCs w:val="22"/>
                <w:lang w:eastAsia="it-IT"/>
              </w:rPr>
              <w:t xml:space="preserve"> (2018)</w:t>
            </w:r>
            <w:r w:rsidRPr="009B0F6E">
              <w:rPr>
                <w:rFonts w:ascii="Calibri" w:hAnsi="Calibri" w:cs="Calibri"/>
                <w:sz w:val="22"/>
                <w:szCs w:val="22"/>
                <w:lang w:eastAsia="it-IT"/>
              </w:rPr>
              <w:fldChar w:fldCharType="begin"/>
            </w:r>
            <w:r w:rsidRPr="009B0F6E">
              <w:rPr>
                <w:rFonts w:ascii="Calibri" w:hAnsi="Calibri" w:cs="Calibri"/>
                <w:sz w:val="22"/>
                <w:szCs w:val="22"/>
                <w:lang w:eastAsia="it-IT"/>
              </w:rPr>
              <w:instrText xml:space="preserve"> ADDIN ZOTERO_ITEM CSL_CITATION {"citationID":"wvT39kTy","properties":{"formattedCitation":"\\super 27\\nosupersub{}","plainCitation":"27","noteIndex":0},"citationItems":[{"id":1168,"uris":["http://zotero.org/users/16203173/items/6GXBPZN4"],"itemData":{"id":1168,"type":"article-journal","abstract":"AIMS: Left atrial appendage occlusion (LAAO) is a stroke prevention therapy for patients with non-valvular atrial fibrillation (AF). This study reports one-year outcomes from patients enrolled in the prospective global Amulet registry.\nMETHODS AND RESULTS: A total of 1,088 patients were recruited, aged 75±9 years; 65% of patients were male. The CHA2DS2-VASc and HAS-BLED scores were 4.2±1.6 and 3.3±1.1, respectively. Eighty-three percent (83%) of patients had contraindications to anticoagulation (OAC); 72% had a history of major bleeding. An AMPLATZER Amulet LAA occluder was successfully implanted in 99% of cases. Transoesophageal echocardiography one to three months after implant showed no residual flow or flow &lt;3 mm in 98.4%. The observed ischaemic stroke rate was 2.9%/year. Device-related thrombus was noted in 1.7% of patients. There were ten cases between 0 and 90 days and eight cases between 91 and 365 days. Patients discharged without OAC (&gt;80%), in particular those on single aspirin therapy, did not appear to have a higher risk of device-related thrombus. In the first year, major bleeding occurred at an annualised rate of 10.3%. All-cause mortality was 8.4% at one year.\nCONCLUSIONS: In the global prospective Amulet registry of patients at high risk of stroke and bleeding, the annualised ischaemic stroke rate was 2.9%. The LAA was sealed in 98.4% after one to three months and device-related thrombus was observed in 1.7% of cases with only a minority of all patients on anticoagulation treatment.","container-title":"EuroIntervention: Journal of EuroPCR in Collaboration with the Working Group on Interventional Cardiology of the European Society of Cardiology","DOI":"10.4244/EIJ-D-18-00344","ISSN":"1969-6213","issue":"5","journalAbbreviation":"EuroIntervention","language":"eng","note":"PMID: 29806820","page":"e590-e597","source":"PubMed","title":"Left atrial appendage occlusion with the AMPLATZER Amulet device: one-year follow-up from the prospective global Amulet observational registry","title-short":"Left atrial appendage occlusion with the AMPLATZER Amulet device","volume":"14","author":[{"family":"Landmesser","given":"Ulf"},{"family":"Tondo","given":"Claudio"},{"family":"Camm","given":"John"},{"family":"Diener","given":"Hans-Christoph"},{"family":"Paul","given":"Vince"},{"family":"Schmidt","given":"Boris"},{"family":"Settergren","given":"Magnus"},{"family":"Teiger","given":"Emmanuel"},{"family":"Nielsen-Kudsk","given":"Jens Erik"},{"family":"Hildick-Smith","given":"David"}],"issued":{"date-parts":[["2018",8,3]]}}}],"schema":"https://github.com/citation-style-language/schema/raw/master/csl-citation.json"} </w:instrText>
            </w:r>
            <w:r w:rsidRPr="009B0F6E">
              <w:rPr>
                <w:rFonts w:ascii="Calibri" w:hAnsi="Calibri" w:cs="Calibri"/>
                <w:sz w:val="22"/>
                <w:szCs w:val="22"/>
                <w:lang w:eastAsia="it-IT"/>
              </w:rPr>
              <w:fldChar w:fldCharType="separate"/>
            </w:r>
            <w:r w:rsidRPr="009B0F6E">
              <w:rPr>
                <w:rFonts w:ascii="Calibri" w:hAnsi="Calibri" w:cs="Calibri"/>
                <w:sz w:val="22"/>
                <w:szCs w:val="22"/>
                <w:vertAlign w:val="superscript"/>
              </w:rPr>
              <w:t>2</w:t>
            </w:r>
            <w:r w:rsidR="000543F4" w:rsidRPr="009B0F6E">
              <w:rPr>
                <w:rFonts w:ascii="Calibri" w:hAnsi="Calibri" w:cs="Calibri"/>
                <w:sz w:val="22"/>
                <w:szCs w:val="22"/>
                <w:vertAlign w:val="superscript"/>
              </w:rPr>
              <w:t>6</w:t>
            </w:r>
            <w:r w:rsidRPr="009B0F6E">
              <w:rPr>
                <w:rFonts w:ascii="Calibri" w:hAnsi="Calibri" w:cs="Calibri"/>
                <w:sz w:val="22"/>
                <w:szCs w:val="22"/>
                <w:lang w:eastAsia="it-IT"/>
              </w:rPr>
              <w:fldChar w:fldCharType="end"/>
            </w:r>
          </w:p>
        </w:tc>
        <w:tc>
          <w:tcPr>
            <w:tcW w:w="1456" w:type="dxa"/>
            <w:tcBorders>
              <w:top w:val="nil"/>
              <w:left w:val="nil"/>
              <w:bottom w:val="single" w:sz="4" w:space="0" w:color="auto"/>
              <w:right w:val="single" w:sz="4" w:space="0" w:color="auto"/>
            </w:tcBorders>
            <w:noWrap/>
            <w:vAlign w:val="center"/>
            <w:hideMark/>
          </w:tcPr>
          <w:p w14:paraId="70BE23D3" w14:textId="77777777" w:rsidR="00230F4F" w:rsidRPr="009B0F6E" w:rsidRDefault="00230F4F" w:rsidP="003A7AD9">
            <w:pPr>
              <w:widowControl w:val="0"/>
              <w:rPr>
                <w:rFonts w:ascii="Calibri" w:hAnsi="Calibri" w:cs="Calibri"/>
                <w:sz w:val="22"/>
                <w:szCs w:val="22"/>
                <w:vertAlign w:val="superscript"/>
                <w:lang w:eastAsia="it-IT"/>
              </w:rPr>
            </w:pPr>
            <w:r w:rsidRPr="009B0F6E">
              <w:rPr>
                <w:rFonts w:ascii="Calibri" w:hAnsi="Calibri" w:cs="Calibri"/>
                <w:sz w:val="22"/>
                <w:szCs w:val="22"/>
                <w:lang w:eastAsia="it-IT"/>
              </w:rPr>
              <w:t>Global Amulet observational registry</w:t>
            </w:r>
          </w:p>
        </w:tc>
        <w:tc>
          <w:tcPr>
            <w:tcW w:w="1560" w:type="dxa"/>
            <w:tcBorders>
              <w:top w:val="nil"/>
              <w:left w:val="nil"/>
              <w:bottom w:val="single" w:sz="4" w:space="0" w:color="auto"/>
              <w:right w:val="single" w:sz="4" w:space="0" w:color="auto"/>
            </w:tcBorders>
            <w:noWrap/>
            <w:vAlign w:val="center"/>
            <w:hideMark/>
          </w:tcPr>
          <w:p w14:paraId="4971521C"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Amulet</w:t>
            </w:r>
          </w:p>
        </w:tc>
        <w:tc>
          <w:tcPr>
            <w:tcW w:w="992" w:type="dxa"/>
            <w:tcBorders>
              <w:top w:val="nil"/>
              <w:left w:val="nil"/>
              <w:bottom w:val="single" w:sz="4" w:space="0" w:color="auto"/>
              <w:right w:val="single" w:sz="4" w:space="0" w:color="auto"/>
            </w:tcBorders>
            <w:noWrap/>
            <w:vAlign w:val="center"/>
            <w:hideMark/>
          </w:tcPr>
          <w:p w14:paraId="1B67CAC6"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1 year</w:t>
            </w:r>
          </w:p>
        </w:tc>
        <w:tc>
          <w:tcPr>
            <w:tcW w:w="850" w:type="dxa"/>
            <w:tcBorders>
              <w:top w:val="nil"/>
              <w:left w:val="nil"/>
              <w:bottom w:val="single" w:sz="4" w:space="0" w:color="auto"/>
              <w:right w:val="single" w:sz="4" w:space="0" w:color="auto"/>
            </w:tcBorders>
            <w:noWrap/>
            <w:vAlign w:val="center"/>
            <w:hideMark/>
          </w:tcPr>
          <w:p w14:paraId="77DAD628"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 xml:space="preserve">99.3% </w:t>
            </w:r>
          </w:p>
        </w:tc>
        <w:tc>
          <w:tcPr>
            <w:tcW w:w="2694" w:type="dxa"/>
            <w:tcBorders>
              <w:top w:val="nil"/>
              <w:left w:val="nil"/>
              <w:bottom w:val="single" w:sz="4" w:space="0" w:color="auto"/>
              <w:right w:val="single" w:sz="4" w:space="0" w:color="auto"/>
            </w:tcBorders>
            <w:vAlign w:val="center"/>
            <w:hideMark/>
          </w:tcPr>
          <w:p w14:paraId="2156C0A2"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Pericardial effusion/tamponade: 1.65%;</w:t>
            </w:r>
          </w:p>
          <w:p w14:paraId="1828C352"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Procedure-related death: 0.28%</w:t>
            </w:r>
          </w:p>
        </w:tc>
        <w:tc>
          <w:tcPr>
            <w:tcW w:w="2409" w:type="dxa"/>
            <w:tcBorders>
              <w:top w:val="nil"/>
              <w:left w:val="nil"/>
              <w:bottom w:val="single" w:sz="4" w:space="0" w:color="auto"/>
              <w:right w:val="single" w:sz="4" w:space="0" w:color="auto"/>
            </w:tcBorders>
            <w:vAlign w:val="center"/>
            <w:hideMark/>
          </w:tcPr>
          <w:p w14:paraId="6ED9EAAA"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1.6%</w:t>
            </w:r>
          </w:p>
          <w:p w14:paraId="390C7FB5"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(flow &gt; 3 mm)</w:t>
            </w:r>
          </w:p>
        </w:tc>
        <w:tc>
          <w:tcPr>
            <w:tcW w:w="1843" w:type="dxa"/>
            <w:tcBorders>
              <w:top w:val="nil"/>
              <w:left w:val="nil"/>
              <w:bottom w:val="single" w:sz="4" w:space="0" w:color="auto"/>
              <w:right w:val="single" w:sz="4" w:space="0" w:color="auto"/>
            </w:tcBorders>
            <w:noWrap/>
            <w:vAlign w:val="center"/>
            <w:hideMark/>
          </w:tcPr>
          <w:p w14:paraId="2F8C17A6"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1.7%</w:t>
            </w:r>
          </w:p>
        </w:tc>
        <w:tc>
          <w:tcPr>
            <w:tcW w:w="992" w:type="dxa"/>
            <w:tcBorders>
              <w:top w:val="nil"/>
              <w:left w:val="nil"/>
              <w:bottom w:val="single" w:sz="4" w:space="0" w:color="auto"/>
              <w:right w:val="single" w:sz="4" w:space="0" w:color="auto"/>
            </w:tcBorders>
            <w:noWrap/>
            <w:vAlign w:val="center"/>
            <w:hideMark/>
          </w:tcPr>
          <w:p w14:paraId="2C740D6D"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NA</w:t>
            </w:r>
          </w:p>
        </w:tc>
        <w:tc>
          <w:tcPr>
            <w:tcW w:w="2383" w:type="dxa"/>
            <w:tcBorders>
              <w:top w:val="nil"/>
              <w:left w:val="nil"/>
              <w:bottom w:val="single" w:sz="4" w:space="0" w:color="auto"/>
              <w:right w:val="single" w:sz="4" w:space="0" w:color="auto"/>
            </w:tcBorders>
            <w:vAlign w:val="center"/>
            <w:hideMark/>
          </w:tcPr>
          <w:p w14:paraId="7B33EB6E"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Ischemic stroke: 2.9%; Transient ischemic attack: 0.9%; Systemic embolism: 0%</w:t>
            </w:r>
          </w:p>
        </w:tc>
        <w:tc>
          <w:tcPr>
            <w:tcW w:w="2244" w:type="dxa"/>
            <w:tcBorders>
              <w:top w:val="nil"/>
              <w:left w:val="nil"/>
              <w:bottom w:val="single" w:sz="4" w:space="0" w:color="auto"/>
              <w:right w:val="single" w:sz="4" w:space="0" w:color="auto"/>
            </w:tcBorders>
            <w:vAlign w:val="center"/>
            <w:hideMark/>
          </w:tcPr>
          <w:p w14:paraId="11DBDD31"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Major bleeding: 10.3%</w:t>
            </w:r>
          </w:p>
        </w:tc>
        <w:tc>
          <w:tcPr>
            <w:tcW w:w="2127" w:type="dxa"/>
            <w:tcBorders>
              <w:top w:val="nil"/>
              <w:left w:val="nil"/>
              <w:bottom w:val="single" w:sz="4" w:space="0" w:color="auto"/>
              <w:right w:val="single" w:sz="4" w:space="0" w:color="auto"/>
            </w:tcBorders>
            <w:vAlign w:val="center"/>
            <w:hideMark/>
          </w:tcPr>
          <w:p w14:paraId="3AC14897"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All-cause: 8.4%;</w:t>
            </w:r>
          </w:p>
          <w:p w14:paraId="240A8DA4"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CV: 5%</w:t>
            </w:r>
          </w:p>
        </w:tc>
      </w:tr>
      <w:tr w:rsidR="00067B73" w:rsidRPr="009B0F6E" w14:paraId="209D1332" w14:textId="77777777" w:rsidTr="001E0E29">
        <w:trPr>
          <w:trHeight w:val="20"/>
        </w:trPr>
        <w:tc>
          <w:tcPr>
            <w:tcW w:w="1374" w:type="dxa"/>
            <w:tcBorders>
              <w:top w:val="nil"/>
              <w:left w:val="single" w:sz="4" w:space="0" w:color="auto"/>
              <w:bottom w:val="single" w:sz="4" w:space="0" w:color="auto"/>
              <w:right w:val="single" w:sz="4" w:space="0" w:color="auto"/>
            </w:tcBorders>
            <w:shd w:val="clear" w:color="000000" w:fill="8DB4E2"/>
            <w:noWrap/>
            <w:vAlign w:val="center"/>
            <w:hideMark/>
          </w:tcPr>
          <w:p w14:paraId="4DCF795B" w14:textId="2625A715" w:rsidR="00230F4F" w:rsidRPr="009B0F6E" w:rsidRDefault="00230F4F">
            <w:pPr>
              <w:widowControl w:val="0"/>
              <w:rPr>
                <w:rFonts w:ascii="Calibri" w:hAnsi="Calibri" w:cs="Calibri"/>
                <w:sz w:val="22"/>
                <w:szCs w:val="22"/>
                <w:lang w:eastAsia="it-IT"/>
              </w:rPr>
            </w:pPr>
            <w:r w:rsidRPr="009B0F6E">
              <w:rPr>
                <w:rFonts w:ascii="Calibri" w:hAnsi="Calibri" w:cs="Calibri"/>
                <w:sz w:val="22"/>
                <w:szCs w:val="22"/>
                <w:lang w:eastAsia="it-IT"/>
              </w:rPr>
              <w:t>Boersma et al. (201</w:t>
            </w:r>
            <w:r w:rsidR="00596DB6" w:rsidRPr="009B0F6E">
              <w:rPr>
                <w:rFonts w:ascii="Calibri" w:hAnsi="Calibri" w:cs="Calibri"/>
                <w:sz w:val="22"/>
                <w:szCs w:val="22"/>
                <w:lang w:eastAsia="it-IT"/>
              </w:rPr>
              <w:t>7</w:t>
            </w:r>
            <w:r w:rsidRPr="009B0F6E">
              <w:rPr>
                <w:rFonts w:ascii="Calibri" w:hAnsi="Calibri" w:cs="Calibri"/>
                <w:sz w:val="22"/>
                <w:szCs w:val="22"/>
                <w:lang w:eastAsia="it-IT"/>
              </w:rPr>
              <w:t>)</w:t>
            </w:r>
            <w:r w:rsidRPr="009B0F6E">
              <w:rPr>
                <w:rFonts w:ascii="Calibri" w:hAnsi="Calibri" w:cs="Calibri"/>
                <w:sz w:val="22"/>
                <w:szCs w:val="22"/>
                <w:lang w:eastAsia="it-IT"/>
              </w:rPr>
              <w:fldChar w:fldCharType="begin"/>
            </w:r>
            <w:r w:rsidRPr="009B0F6E">
              <w:rPr>
                <w:rFonts w:ascii="Calibri" w:hAnsi="Calibri" w:cs="Calibri"/>
                <w:sz w:val="22"/>
                <w:szCs w:val="22"/>
                <w:lang w:eastAsia="it-IT"/>
              </w:rPr>
              <w:instrText xml:space="preserve"> ADDIN ZOTERO_ITEM CSL_CITATION {"citationID":"TISjcfEZ","properties":{"formattedCitation":"\\super 50\\nosupersub{}","plainCitation":"50","noteIndex":0},"citationItems":[{"id":1195,"uris":["http://zotero.org/users/16203173/items/PUP8Y3DP"],"itemData":{"id":1195,"type":"article-journal","abstract":"BACKGROUND: Left atrial appendage (LAA) occlusion with WATCHMAN has emerged as viable alternative to vitamin K antagonists in randomized controlled trials.\nOBJECTIVE: EWOLUTION was designed to provide data in routine practice from a prospective multicenter registry.\nMETHODS: A total of 1025 patients scheduled for a WATCHMAN implant were prospectively and sequentially enrolled at 47 centers. Indication for LAA closure was based on European Society of Cardiology guidelines. Follow-up and transesophageal echocardiography (TEE) were performed per local practice.\nRESULTS: The baseline CHA2DS2-VASc score was 4.5 ± 1.6; the mean age was 73.4 ± 9 years; previous transient ischemic attack/ischemic stroke was present in 312 (30.5%), 155 (15.1%) had previous hemorrhagic stroke, and 320 (31.3%) had a history of major bleeding; and 750 (73%) were deemed unsuitable for oral anticoagulation therapy. WATCHMAN implant succeeded in 1005 (98.5%) of patients, without leaks &gt;5 mm in 1002 (99.7%) with at least 1 TEE follow-up in 875 patients (87%). Antiplatelet therapy was used in 784 (83%), while vitamin K antagonists were used in only 75 (8%). At 1 year, mortality was 98 (9.8%), reflecting the advanced age and comorbidities in this population. Device thrombus was observed in 28 patients at routine TEE (3.7%) and was not correlated with the drug regimen (P = .14). Ischemic stroke rate was 1.1% (relative risk 84% vs estimated historical data); the major bleeding rate was 2.6% and was predominantly (2.3%) nonprocedure/device related.\nCONCLUSION: LAA closure with the WATCHMAN device has a high implant and sealing success. This method of stroke risk reduction appears to be safe and effective with an ischemic stroke rate as low as 1.1%, even though 73% of patients had a contraindication to and were not using oral anticoagulation.","container-title":"Heart Rhythm","DOI":"10.1016/j.hrthm.2017.05.038","ISSN":"1556-3871","issue":"9","journalAbbreviation":"Heart Rhythm","language":"eng","note":"PMID: 28577840","page":"1302-1308","source":"PubMed","title":"Efficacy and safety of left atrial appendage closure with WATCHMAN in patients with or without contraindication to oral anticoagulation: 1-Year follow-up outcome data of the EWOLUTION trial","title-short":"Efficacy and safety of left atrial appendage closure with WATCHMAN in patients with or without contraindication to oral anticoagulation","volume":"14","author":[{"family":"Boersma","given":"Lucas V."},{"family":"Ince","given":"Hueseyin"},{"family":"Kische","given":"Stephan"},{"family":"Pokushalov","given":"Evgeny"},{"family":"Schmitz","given":"Thomas"},{"family":"Schmidt","given":"Boris"},{"family":"Gori","given":"Tommaso"},{"family":"Meincke","given":"Felix"},{"family":"Protopopov","given":"Alexey Vladimir"},{"family":"Betts","given":"Timothy"},{"family":"Foley","given":"David"},{"family":"Sievert","given":"Horst"},{"family":"Mazzone","given":"Patrizio"},{"family":"De Potter","given":"Tom"},{"family":"Vireca","given":"Elisa"},{"family":"Stein","given":"Kenneth"},{"family":"Bergmann","given":"Martin W."},{"literal":"EWOLUTION Investigators"}],"issued":{"date-parts":[["2017",9]]}}}],"schema":"https://github.com/citation-style-language/schema/raw/master/csl-citation.json"} </w:instrText>
            </w:r>
            <w:r w:rsidRPr="009B0F6E">
              <w:rPr>
                <w:rFonts w:ascii="Calibri" w:hAnsi="Calibri" w:cs="Calibri"/>
                <w:sz w:val="22"/>
                <w:szCs w:val="22"/>
                <w:lang w:eastAsia="it-IT"/>
              </w:rPr>
              <w:fldChar w:fldCharType="separate"/>
            </w:r>
            <w:r w:rsidRPr="009B0F6E">
              <w:rPr>
                <w:rFonts w:ascii="Calibri" w:hAnsi="Calibri" w:cs="Calibri"/>
                <w:sz w:val="22"/>
                <w:szCs w:val="22"/>
                <w:vertAlign w:val="superscript"/>
              </w:rPr>
              <w:t>4</w:t>
            </w:r>
            <w:r w:rsidR="000543F4" w:rsidRPr="009B0F6E">
              <w:rPr>
                <w:rFonts w:ascii="Calibri" w:hAnsi="Calibri" w:cs="Calibri"/>
                <w:sz w:val="22"/>
                <w:szCs w:val="22"/>
                <w:vertAlign w:val="superscript"/>
              </w:rPr>
              <w:t>7</w:t>
            </w:r>
            <w:r w:rsidRPr="009B0F6E">
              <w:rPr>
                <w:rFonts w:ascii="Calibri" w:hAnsi="Calibri" w:cs="Calibri"/>
                <w:sz w:val="22"/>
                <w:szCs w:val="22"/>
                <w:lang w:eastAsia="it-IT"/>
              </w:rPr>
              <w:fldChar w:fldCharType="end"/>
            </w:r>
          </w:p>
        </w:tc>
        <w:tc>
          <w:tcPr>
            <w:tcW w:w="1456" w:type="dxa"/>
            <w:tcBorders>
              <w:top w:val="nil"/>
              <w:left w:val="nil"/>
              <w:bottom w:val="single" w:sz="4" w:space="0" w:color="auto"/>
              <w:right w:val="single" w:sz="4" w:space="0" w:color="auto"/>
            </w:tcBorders>
            <w:noWrap/>
            <w:vAlign w:val="center"/>
            <w:hideMark/>
          </w:tcPr>
          <w:p w14:paraId="2B6F701A" w14:textId="77777777" w:rsidR="00230F4F" w:rsidRPr="009B0F6E" w:rsidRDefault="00230F4F" w:rsidP="003A7AD9">
            <w:pPr>
              <w:widowControl w:val="0"/>
              <w:rPr>
                <w:rFonts w:ascii="Calibri" w:hAnsi="Calibri" w:cs="Calibri"/>
                <w:sz w:val="22"/>
                <w:szCs w:val="22"/>
                <w:vertAlign w:val="superscript"/>
                <w:lang w:eastAsia="it-IT"/>
              </w:rPr>
            </w:pPr>
            <w:r w:rsidRPr="009B0F6E">
              <w:rPr>
                <w:rFonts w:ascii="Calibri" w:hAnsi="Calibri" w:cs="Calibri"/>
                <w:sz w:val="22"/>
                <w:szCs w:val="22"/>
                <w:lang w:eastAsia="it-IT"/>
              </w:rPr>
              <w:t>EWOLUTION</w:t>
            </w:r>
          </w:p>
        </w:tc>
        <w:tc>
          <w:tcPr>
            <w:tcW w:w="1560" w:type="dxa"/>
            <w:tcBorders>
              <w:top w:val="nil"/>
              <w:left w:val="nil"/>
              <w:bottom w:val="single" w:sz="4" w:space="0" w:color="auto"/>
              <w:right w:val="single" w:sz="4" w:space="0" w:color="auto"/>
            </w:tcBorders>
            <w:noWrap/>
            <w:vAlign w:val="center"/>
            <w:hideMark/>
          </w:tcPr>
          <w:p w14:paraId="6D2C5954"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Watchman 2.5</w:t>
            </w:r>
          </w:p>
        </w:tc>
        <w:tc>
          <w:tcPr>
            <w:tcW w:w="992" w:type="dxa"/>
            <w:tcBorders>
              <w:top w:val="nil"/>
              <w:left w:val="nil"/>
              <w:bottom w:val="single" w:sz="4" w:space="0" w:color="auto"/>
              <w:right w:val="single" w:sz="4" w:space="0" w:color="auto"/>
            </w:tcBorders>
            <w:noWrap/>
            <w:vAlign w:val="center"/>
            <w:hideMark/>
          </w:tcPr>
          <w:p w14:paraId="596BDB15"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732 days</w:t>
            </w:r>
          </w:p>
        </w:tc>
        <w:tc>
          <w:tcPr>
            <w:tcW w:w="850" w:type="dxa"/>
            <w:tcBorders>
              <w:top w:val="nil"/>
              <w:left w:val="nil"/>
              <w:bottom w:val="single" w:sz="4" w:space="0" w:color="auto"/>
              <w:right w:val="single" w:sz="4" w:space="0" w:color="auto"/>
            </w:tcBorders>
            <w:noWrap/>
            <w:vAlign w:val="center"/>
            <w:hideMark/>
          </w:tcPr>
          <w:p w14:paraId="19C0A04E"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98.5%</w:t>
            </w:r>
          </w:p>
        </w:tc>
        <w:tc>
          <w:tcPr>
            <w:tcW w:w="2694" w:type="dxa"/>
            <w:tcBorders>
              <w:top w:val="nil"/>
              <w:left w:val="nil"/>
              <w:bottom w:val="single" w:sz="4" w:space="0" w:color="auto"/>
              <w:right w:val="single" w:sz="4" w:space="0" w:color="auto"/>
            </w:tcBorders>
            <w:vAlign w:val="center"/>
            <w:hideMark/>
          </w:tcPr>
          <w:p w14:paraId="0DD2847D"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Pericardial tamponade: 0.29%;</w:t>
            </w:r>
          </w:p>
          <w:p w14:paraId="60317312"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Pericardial effusion: 0.39%;</w:t>
            </w:r>
          </w:p>
          <w:p w14:paraId="64185433"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Procedure-related stroke: 0.10%;</w:t>
            </w:r>
          </w:p>
          <w:p w14:paraId="1463207E"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Device embolization: 0.2%</w:t>
            </w:r>
          </w:p>
        </w:tc>
        <w:tc>
          <w:tcPr>
            <w:tcW w:w="2409" w:type="dxa"/>
            <w:tcBorders>
              <w:top w:val="nil"/>
              <w:left w:val="nil"/>
              <w:bottom w:val="single" w:sz="4" w:space="0" w:color="auto"/>
              <w:right w:val="single" w:sz="4" w:space="0" w:color="auto"/>
            </w:tcBorders>
            <w:noWrap/>
            <w:vAlign w:val="center"/>
            <w:hideMark/>
          </w:tcPr>
          <w:p w14:paraId="39E22DD5"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0.7%</w:t>
            </w:r>
          </w:p>
          <w:p w14:paraId="350516BA"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(flow &gt; 5 mm)</w:t>
            </w:r>
          </w:p>
        </w:tc>
        <w:tc>
          <w:tcPr>
            <w:tcW w:w="1843" w:type="dxa"/>
            <w:tcBorders>
              <w:top w:val="nil"/>
              <w:left w:val="nil"/>
              <w:bottom w:val="single" w:sz="4" w:space="0" w:color="auto"/>
              <w:right w:val="single" w:sz="4" w:space="0" w:color="auto"/>
            </w:tcBorders>
            <w:noWrap/>
            <w:vAlign w:val="center"/>
            <w:hideMark/>
          </w:tcPr>
          <w:p w14:paraId="1F45A8F3"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4.1%</w:t>
            </w:r>
          </w:p>
        </w:tc>
        <w:tc>
          <w:tcPr>
            <w:tcW w:w="992" w:type="dxa"/>
            <w:tcBorders>
              <w:top w:val="nil"/>
              <w:left w:val="nil"/>
              <w:bottom w:val="single" w:sz="4" w:space="0" w:color="auto"/>
              <w:right w:val="single" w:sz="4" w:space="0" w:color="auto"/>
            </w:tcBorders>
            <w:noWrap/>
            <w:vAlign w:val="center"/>
            <w:hideMark/>
          </w:tcPr>
          <w:p w14:paraId="4E6F41C7"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0.2%</w:t>
            </w:r>
          </w:p>
        </w:tc>
        <w:tc>
          <w:tcPr>
            <w:tcW w:w="2383" w:type="dxa"/>
            <w:tcBorders>
              <w:top w:val="nil"/>
              <w:left w:val="nil"/>
              <w:bottom w:val="single" w:sz="4" w:space="0" w:color="auto"/>
              <w:right w:val="single" w:sz="4" w:space="0" w:color="auto"/>
            </w:tcBorders>
            <w:vAlign w:val="center"/>
            <w:hideMark/>
          </w:tcPr>
          <w:p w14:paraId="1D3B3E6B" w14:textId="0D879BC9"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All stroke: 1.3/100 patient-years;</w:t>
            </w:r>
          </w:p>
          <w:p w14:paraId="04D66185"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Composite of TIA/stroke: 2.0/100 patient-years</w:t>
            </w:r>
          </w:p>
        </w:tc>
        <w:tc>
          <w:tcPr>
            <w:tcW w:w="2244" w:type="dxa"/>
            <w:tcBorders>
              <w:top w:val="nil"/>
              <w:left w:val="nil"/>
              <w:bottom w:val="single" w:sz="4" w:space="0" w:color="auto"/>
              <w:right w:val="single" w:sz="4" w:space="0" w:color="auto"/>
            </w:tcBorders>
            <w:vAlign w:val="center"/>
            <w:hideMark/>
          </w:tcPr>
          <w:p w14:paraId="2F67EC35"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Major bleeding: 2.7/100 patient-years</w:t>
            </w:r>
          </w:p>
        </w:tc>
        <w:tc>
          <w:tcPr>
            <w:tcW w:w="2127" w:type="dxa"/>
            <w:tcBorders>
              <w:top w:val="nil"/>
              <w:left w:val="nil"/>
              <w:bottom w:val="single" w:sz="4" w:space="0" w:color="auto"/>
              <w:right w:val="single" w:sz="4" w:space="0" w:color="auto"/>
            </w:tcBorders>
            <w:vAlign w:val="center"/>
            <w:hideMark/>
          </w:tcPr>
          <w:p w14:paraId="40DD6C45"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All-cause: 15.9%;</w:t>
            </w:r>
          </w:p>
          <w:p w14:paraId="098F63B1" w14:textId="2670289E"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CV: 4.5%;</w:t>
            </w:r>
          </w:p>
          <w:p w14:paraId="5CF041DC"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Bleeding-related:1%;</w:t>
            </w:r>
          </w:p>
          <w:p w14:paraId="081B767B"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Unexplained 2.9%</w:t>
            </w:r>
          </w:p>
        </w:tc>
      </w:tr>
      <w:tr w:rsidR="00067B73" w:rsidRPr="009B0F6E" w14:paraId="37D39EB4" w14:textId="77777777" w:rsidTr="001E0E29">
        <w:trPr>
          <w:trHeight w:val="20"/>
        </w:trPr>
        <w:tc>
          <w:tcPr>
            <w:tcW w:w="1374" w:type="dxa"/>
            <w:tcBorders>
              <w:top w:val="nil"/>
              <w:left w:val="single" w:sz="4" w:space="0" w:color="auto"/>
              <w:bottom w:val="single" w:sz="4" w:space="0" w:color="auto"/>
              <w:right w:val="single" w:sz="4" w:space="0" w:color="auto"/>
            </w:tcBorders>
            <w:shd w:val="clear" w:color="000000" w:fill="8DB4E2"/>
            <w:noWrap/>
            <w:vAlign w:val="center"/>
            <w:hideMark/>
          </w:tcPr>
          <w:p w14:paraId="44F615B8" w14:textId="37D2EA86"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Holmes et al. (2019)</w:t>
            </w:r>
            <w:r w:rsidRPr="009B0F6E">
              <w:rPr>
                <w:rFonts w:ascii="Calibri" w:hAnsi="Calibri" w:cs="Calibri"/>
                <w:sz w:val="22"/>
                <w:szCs w:val="22"/>
                <w:lang w:eastAsia="it-IT"/>
              </w:rPr>
              <w:fldChar w:fldCharType="begin"/>
            </w:r>
            <w:r w:rsidRPr="009B0F6E">
              <w:rPr>
                <w:rFonts w:ascii="Calibri" w:hAnsi="Calibri" w:cs="Calibri"/>
                <w:sz w:val="22"/>
                <w:szCs w:val="22"/>
                <w:lang w:eastAsia="it-IT"/>
              </w:rPr>
              <w:instrText xml:space="preserve"> ADDIN ZOTERO_ITEM CSL_CITATION {"citationID":"0MB2QCQS","properties":{"formattedCitation":"\\super 16\\nosupersub{}","plainCitation":"16","noteIndex":0},"citationItems":[{"id":1198,"uris":["http://zotero.org/users/16203173/items/ZRBGCM9Q"],"itemData":{"id":1198,"type":"article-journal","abstract":"BACKGROUND: Long-term data on the safety and efficacy of left atrial appendage closure (LAAC) for stroke prevention in patients with nonvalvular atrial fibrillation remain limited.\nOBJECTIVES: The purpose of this study was to evaluate 4.5- to 5-year data in 2 U.S. Food and Drug Association LAAC mandated registries (CAP [Continued Access to PROTECT-AF] and CAP2 [Continued Access to PREVAIL]) for safety and efficacy.\nMETHODS: Two registries of patients implanted with LAAC devices provide the largest source of follow-up data. Both accompanied their respective randomized clinical trials, PROTECT-AF (Watchman Left Atrial Appendage System for Embolic PROTECTion in Patients With Atrial Fibrillation) and PREVAIL (Prospective Randomized Evaluation of the WATCHMAN LAA Closure Device In Patients with Atrial Fibrillation versus Long Term Warfarin Therapy), which used the same endpoints (primary efficacy of composite of stroke, systemic embolism, cardiovascular/unexplained death, and safety).\nRESULTS: CAP included 566 patients with an average follow-up of 50.1 months (2,293 patient-years), and CAP2 included 578 patients with an average follow-up of 50.3 months (2,227 patient-years). CAP2 patients were significantly older and had higher CHA2DS2-VASc (congestive heart failure, hypertension, age ≥75 years, diabetes mellitus, stroke/transient ischemic attack, vascular disease, age 65 to 74 years, sex category) scores (4.51 vs. 3.88; p &lt; 0.001). Procedural success was similar in both (94%). The primary composite endpoint occurred at a rate of 3.05 per 100 patient-years in CAP and 4.80 per 100 patient-years in CAP2; events contributing to this endpoint were most commonly cardiovascular/unexplained death (1.69 per 100 patient-years for CAP and 2.92 per 100 patient-years for CAP2). Hemorrhagic stroke was significantly less than ischemic stroke (0.17 per 100 patient-years in CAP and 0.09 per 100 patient-years in CAP2), and total stroke rates were significantly less than predicted by CHA2DS2-VASc score (78% reduction with CAP, 69% reduction with CAP2).\nCONCLUSIONS: These registries, which contain the longest and largest follow-up data of patients with the Watchman device, support LAAC as a safe and effective therapy for long-term anticoagulation in patients with nonvalvular atrial fibrillation, and document the lowest rate of hemorrhagic stroke identified in this population.","container-title":"Journal of the American College of Cardiology","DOI":"10.1016/j.jacc.2019.09.064","ISSN":"1558-3597","issue":"23","journalAbbreviation":"J Am Coll Cardiol","language":"eng","note":"PMID: 31806131","page":"2878-2889","source":"PubMed","title":"Long-Term Safety and Efficacy in Continued Access Left Atrial Appendage Closure Registries","volume":"74","author":[{"family":"Holmes","given":"David R."},{"family":"Reddy","given":"Vivek Y."},{"family":"Gordon","given":"Nicole T."},{"family":"Delurgio","given":"David"},{"family":"Doshi","given":"Shephal K."},{"family":"Desai","given":"Amish J."},{"family":"Stone","given":"James E."},{"family":"Kar","given":"Saibal"}],"issued":{"date-parts":[["2019",12,10]]}}}],"schema":"https://github.com/citation-style-language/schema/raw/master/csl-citation.json"} </w:instrText>
            </w:r>
            <w:r w:rsidRPr="009B0F6E">
              <w:rPr>
                <w:rFonts w:ascii="Calibri" w:hAnsi="Calibri" w:cs="Calibri"/>
                <w:sz w:val="22"/>
                <w:szCs w:val="22"/>
                <w:lang w:eastAsia="it-IT"/>
              </w:rPr>
              <w:fldChar w:fldCharType="separate"/>
            </w:r>
            <w:r w:rsidRPr="009B0F6E">
              <w:rPr>
                <w:rFonts w:ascii="Calibri" w:hAnsi="Calibri" w:cs="Calibri"/>
                <w:sz w:val="22"/>
                <w:szCs w:val="22"/>
                <w:vertAlign w:val="superscript"/>
              </w:rPr>
              <w:t>1</w:t>
            </w:r>
            <w:r w:rsidR="000543F4" w:rsidRPr="009B0F6E">
              <w:rPr>
                <w:rFonts w:ascii="Calibri" w:hAnsi="Calibri" w:cs="Calibri"/>
                <w:sz w:val="22"/>
                <w:szCs w:val="22"/>
                <w:vertAlign w:val="superscript"/>
              </w:rPr>
              <w:t>5</w:t>
            </w:r>
            <w:r w:rsidRPr="009B0F6E">
              <w:rPr>
                <w:rFonts w:ascii="Calibri" w:hAnsi="Calibri" w:cs="Calibri"/>
                <w:sz w:val="22"/>
                <w:szCs w:val="22"/>
                <w:lang w:eastAsia="it-IT"/>
              </w:rPr>
              <w:fldChar w:fldCharType="end"/>
            </w:r>
          </w:p>
        </w:tc>
        <w:tc>
          <w:tcPr>
            <w:tcW w:w="1456" w:type="dxa"/>
            <w:tcBorders>
              <w:top w:val="nil"/>
              <w:left w:val="nil"/>
              <w:bottom w:val="single" w:sz="4" w:space="0" w:color="auto"/>
              <w:right w:val="single" w:sz="4" w:space="0" w:color="auto"/>
            </w:tcBorders>
            <w:noWrap/>
            <w:vAlign w:val="center"/>
            <w:hideMark/>
          </w:tcPr>
          <w:p w14:paraId="2FAC024C"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CAP &amp; CAP2 registries</w:t>
            </w:r>
          </w:p>
        </w:tc>
        <w:tc>
          <w:tcPr>
            <w:tcW w:w="1560" w:type="dxa"/>
            <w:tcBorders>
              <w:top w:val="nil"/>
              <w:left w:val="nil"/>
              <w:bottom w:val="single" w:sz="4" w:space="0" w:color="auto"/>
              <w:right w:val="single" w:sz="4" w:space="0" w:color="auto"/>
            </w:tcBorders>
            <w:noWrap/>
            <w:vAlign w:val="center"/>
            <w:hideMark/>
          </w:tcPr>
          <w:p w14:paraId="74E0D7E7"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Watchman 2.5</w:t>
            </w:r>
          </w:p>
        </w:tc>
        <w:tc>
          <w:tcPr>
            <w:tcW w:w="992" w:type="dxa"/>
            <w:tcBorders>
              <w:top w:val="nil"/>
              <w:left w:val="nil"/>
              <w:bottom w:val="single" w:sz="4" w:space="0" w:color="auto"/>
              <w:right w:val="single" w:sz="4" w:space="0" w:color="auto"/>
            </w:tcBorders>
            <w:vAlign w:val="center"/>
            <w:hideMark/>
          </w:tcPr>
          <w:p w14:paraId="70C79EE5"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50.1-50.3 months</w:t>
            </w:r>
          </w:p>
        </w:tc>
        <w:tc>
          <w:tcPr>
            <w:tcW w:w="850" w:type="dxa"/>
            <w:tcBorders>
              <w:top w:val="nil"/>
              <w:left w:val="nil"/>
              <w:bottom w:val="single" w:sz="4" w:space="0" w:color="auto"/>
              <w:right w:val="single" w:sz="4" w:space="0" w:color="auto"/>
            </w:tcBorders>
            <w:noWrap/>
            <w:vAlign w:val="center"/>
            <w:hideMark/>
          </w:tcPr>
          <w:p w14:paraId="35279946"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94.3%</w:t>
            </w:r>
          </w:p>
        </w:tc>
        <w:tc>
          <w:tcPr>
            <w:tcW w:w="2694" w:type="dxa"/>
            <w:tcBorders>
              <w:top w:val="nil"/>
              <w:left w:val="nil"/>
              <w:bottom w:val="single" w:sz="4" w:space="0" w:color="auto"/>
              <w:right w:val="single" w:sz="4" w:space="0" w:color="auto"/>
            </w:tcBorders>
            <w:vAlign w:val="center"/>
            <w:hideMark/>
          </w:tcPr>
          <w:p w14:paraId="4B2FE36D"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Pericardial tamponade: CAP 1.4%, CAP2 1.9%;</w:t>
            </w:r>
          </w:p>
          <w:p w14:paraId="0734B401"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Pericardial effusion: CAP 0.9%, CAP2 0.5%;</w:t>
            </w:r>
          </w:p>
          <w:p w14:paraId="0BEA30F4"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Procedure-related stroke: CAP 0%, CAP2 0.35%;</w:t>
            </w:r>
          </w:p>
          <w:p w14:paraId="3264C906"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Device embolization: CAP 0.2%, CAP2 0%;</w:t>
            </w:r>
          </w:p>
        </w:tc>
        <w:tc>
          <w:tcPr>
            <w:tcW w:w="2409" w:type="dxa"/>
            <w:tcBorders>
              <w:top w:val="nil"/>
              <w:left w:val="nil"/>
              <w:bottom w:val="single" w:sz="4" w:space="0" w:color="auto"/>
              <w:right w:val="single" w:sz="4" w:space="0" w:color="auto"/>
            </w:tcBorders>
            <w:noWrap/>
            <w:vAlign w:val="center"/>
            <w:hideMark/>
          </w:tcPr>
          <w:p w14:paraId="5F80B07D"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NA</w:t>
            </w:r>
          </w:p>
        </w:tc>
        <w:tc>
          <w:tcPr>
            <w:tcW w:w="1843" w:type="dxa"/>
            <w:tcBorders>
              <w:top w:val="nil"/>
              <w:left w:val="nil"/>
              <w:bottom w:val="single" w:sz="4" w:space="0" w:color="auto"/>
              <w:right w:val="single" w:sz="4" w:space="0" w:color="auto"/>
            </w:tcBorders>
            <w:noWrap/>
            <w:vAlign w:val="center"/>
            <w:hideMark/>
          </w:tcPr>
          <w:p w14:paraId="66FF85EC"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CAP 2.6%, CAP2 3.9%</w:t>
            </w:r>
          </w:p>
        </w:tc>
        <w:tc>
          <w:tcPr>
            <w:tcW w:w="992" w:type="dxa"/>
            <w:tcBorders>
              <w:top w:val="nil"/>
              <w:left w:val="nil"/>
              <w:bottom w:val="single" w:sz="4" w:space="0" w:color="auto"/>
              <w:right w:val="single" w:sz="4" w:space="0" w:color="auto"/>
            </w:tcBorders>
            <w:noWrap/>
            <w:vAlign w:val="center"/>
            <w:hideMark/>
          </w:tcPr>
          <w:p w14:paraId="73C198C1"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CAP 0.2%, CAP2 0%</w:t>
            </w:r>
          </w:p>
        </w:tc>
        <w:tc>
          <w:tcPr>
            <w:tcW w:w="2383" w:type="dxa"/>
            <w:tcBorders>
              <w:top w:val="nil"/>
              <w:left w:val="nil"/>
              <w:bottom w:val="single" w:sz="4" w:space="0" w:color="auto"/>
              <w:right w:val="single" w:sz="4" w:space="0" w:color="auto"/>
            </w:tcBorders>
            <w:vAlign w:val="center"/>
            <w:hideMark/>
          </w:tcPr>
          <w:p w14:paraId="650E2523" w14:textId="317BE834"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Overall: CAP 1.48%, CAP2 2.25%;</w:t>
            </w:r>
          </w:p>
          <w:p w14:paraId="6AB3A7D3"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Ischemic stroke: CAP 1.30%, CAP2 2.20%;</w:t>
            </w:r>
          </w:p>
          <w:p w14:paraId="5544980F" w14:textId="77777777" w:rsidR="00CD364B" w:rsidRPr="009B0F6E" w:rsidRDefault="00230F4F" w:rsidP="00CD364B">
            <w:pPr>
              <w:widowControl w:val="0"/>
              <w:rPr>
                <w:rFonts w:ascii="Calibri" w:hAnsi="Calibri" w:cs="Calibri"/>
                <w:sz w:val="22"/>
                <w:szCs w:val="22"/>
                <w:lang w:eastAsia="it-IT"/>
              </w:rPr>
            </w:pPr>
            <w:r w:rsidRPr="009B0F6E">
              <w:rPr>
                <w:rFonts w:ascii="Calibri" w:hAnsi="Calibri" w:cs="Calibri"/>
                <w:sz w:val="22"/>
                <w:szCs w:val="22"/>
                <w:lang w:eastAsia="it-IT"/>
              </w:rPr>
              <w:t xml:space="preserve">Hemorrhagic stroke: CAP 0.17%, CAP2 0.09% </w:t>
            </w:r>
          </w:p>
          <w:p w14:paraId="093A2A04" w14:textId="438A54A9" w:rsidR="00230F4F" w:rsidRPr="009B0F6E" w:rsidRDefault="00230F4F" w:rsidP="00CD364B">
            <w:pPr>
              <w:widowControl w:val="0"/>
              <w:rPr>
                <w:rFonts w:ascii="Calibri" w:hAnsi="Calibri" w:cs="Calibri"/>
                <w:sz w:val="22"/>
                <w:szCs w:val="22"/>
                <w:lang w:eastAsia="it-IT"/>
              </w:rPr>
            </w:pPr>
            <w:r w:rsidRPr="009B0F6E">
              <w:rPr>
                <w:rFonts w:ascii="Calibri" w:hAnsi="Calibri" w:cs="Calibri"/>
                <w:sz w:val="22"/>
                <w:szCs w:val="22"/>
                <w:lang w:eastAsia="it-IT"/>
              </w:rPr>
              <w:t>Systemic embolism: CAP 0.04%, CAP2 0.09%</w:t>
            </w:r>
          </w:p>
        </w:tc>
        <w:tc>
          <w:tcPr>
            <w:tcW w:w="2244" w:type="dxa"/>
            <w:tcBorders>
              <w:top w:val="nil"/>
              <w:left w:val="nil"/>
              <w:bottom w:val="single" w:sz="4" w:space="0" w:color="auto"/>
              <w:right w:val="single" w:sz="4" w:space="0" w:color="auto"/>
            </w:tcBorders>
            <w:noWrap/>
            <w:vAlign w:val="center"/>
            <w:hideMark/>
          </w:tcPr>
          <w:p w14:paraId="176A7F32"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NA</w:t>
            </w:r>
          </w:p>
        </w:tc>
        <w:tc>
          <w:tcPr>
            <w:tcW w:w="2127" w:type="dxa"/>
            <w:tcBorders>
              <w:top w:val="nil"/>
              <w:left w:val="nil"/>
              <w:bottom w:val="single" w:sz="4" w:space="0" w:color="auto"/>
              <w:right w:val="single" w:sz="4" w:space="0" w:color="auto"/>
            </w:tcBorders>
            <w:vAlign w:val="center"/>
            <w:hideMark/>
          </w:tcPr>
          <w:p w14:paraId="6B9E6D4A"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All-cause: CAP 4.27% vs. CAP2 6.24%; CV/unexplained: CAP 1.69% vs. CAP2 2.92%</w:t>
            </w:r>
          </w:p>
        </w:tc>
      </w:tr>
      <w:tr w:rsidR="00067B73" w:rsidRPr="009B0F6E" w14:paraId="0D8412E1" w14:textId="77777777" w:rsidTr="001E0E29">
        <w:trPr>
          <w:trHeight w:val="20"/>
        </w:trPr>
        <w:tc>
          <w:tcPr>
            <w:tcW w:w="1374" w:type="dxa"/>
            <w:tcBorders>
              <w:top w:val="nil"/>
              <w:left w:val="single" w:sz="4" w:space="0" w:color="auto"/>
              <w:bottom w:val="single" w:sz="4" w:space="0" w:color="auto"/>
              <w:right w:val="single" w:sz="4" w:space="0" w:color="auto"/>
            </w:tcBorders>
            <w:shd w:val="clear" w:color="000000" w:fill="8DB4E2"/>
            <w:noWrap/>
            <w:vAlign w:val="center"/>
            <w:hideMark/>
          </w:tcPr>
          <w:p w14:paraId="4C7C2BBE" w14:textId="6C69AC6F"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 xml:space="preserve">Freeman </w:t>
            </w:r>
            <w:r w:rsidR="00803AFC" w:rsidRPr="009B0F6E">
              <w:rPr>
                <w:rFonts w:ascii="Calibri" w:hAnsi="Calibri" w:cs="Calibri"/>
                <w:sz w:val="22"/>
                <w:szCs w:val="22"/>
                <w:lang w:eastAsia="it-IT"/>
              </w:rPr>
              <w:t xml:space="preserve">et al. </w:t>
            </w:r>
            <w:r w:rsidRPr="009B0F6E">
              <w:rPr>
                <w:rFonts w:ascii="Calibri" w:hAnsi="Calibri" w:cs="Calibri"/>
                <w:sz w:val="22"/>
                <w:szCs w:val="22"/>
                <w:lang w:eastAsia="it-IT"/>
              </w:rPr>
              <w:t>(2020)</w:t>
            </w:r>
            <w:r w:rsidR="000543F4" w:rsidRPr="001E0E29">
              <w:rPr>
                <w:rFonts w:ascii="Calibri" w:hAnsi="Calibri" w:cs="Calibri"/>
                <w:sz w:val="22"/>
                <w:szCs w:val="22"/>
                <w:vertAlign w:val="superscript"/>
                <w:lang w:eastAsia="it-IT"/>
              </w:rPr>
              <w:t>49</w:t>
            </w:r>
          </w:p>
        </w:tc>
        <w:tc>
          <w:tcPr>
            <w:tcW w:w="1456" w:type="dxa"/>
            <w:tcBorders>
              <w:top w:val="nil"/>
              <w:left w:val="nil"/>
              <w:bottom w:val="single" w:sz="4" w:space="0" w:color="auto"/>
              <w:right w:val="single" w:sz="4" w:space="0" w:color="auto"/>
            </w:tcBorders>
            <w:vAlign w:val="center"/>
            <w:hideMark/>
          </w:tcPr>
          <w:p w14:paraId="52A6F562"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NCDR LAA occlusion registry</w:t>
            </w:r>
          </w:p>
        </w:tc>
        <w:tc>
          <w:tcPr>
            <w:tcW w:w="1560" w:type="dxa"/>
            <w:tcBorders>
              <w:top w:val="nil"/>
              <w:left w:val="nil"/>
              <w:bottom w:val="single" w:sz="4" w:space="0" w:color="auto"/>
              <w:right w:val="single" w:sz="4" w:space="0" w:color="auto"/>
            </w:tcBorders>
            <w:noWrap/>
            <w:vAlign w:val="center"/>
            <w:hideMark/>
          </w:tcPr>
          <w:p w14:paraId="6A2096E0"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Watchman 2.5</w:t>
            </w:r>
          </w:p>
        </w:tc>
        <w:tc>
          <w:tcPr>
            <w:tcW w:w="992" w:type="dxa"/>
            <w:tcBorders>
              <w:top w:val="nil"/>
              <w:left w:val="nil"/>
              <w:bottom w:val="single" w:sz="4" w:space="0" w:color="auto"/>
              <w:right w:val="single" w:sz="4" w:space="0" w:color="auto"/>
            </w:tcBorders>
            <w:vAlign w:val="center"/>
            <w:hideMark/>
          </w:tcPr>
          <w:p w14:paraId="7F490D40"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NA</w:t>
            </w:r>
          </w:p>
        </w:tc>
        <w:tc>
          <w:tcPr>
            <w:tcW w:w="850" w:type="dxa"/>
            <w:tcBorders>
              <w:top w:val="nil"/>
              <w:left w:val="nil"/>
              <w:bottom w:val="single" w:sz="4" w:space="0" w:color="auto"/>
              <w:right w:val="single" w:sz="4" w:space="0" w:color="auto"/>
            </w:tcBorders>
            <w:noWrap/>
            <w:vAlign w:val="center"/>
            <w:hideMark/>
          </w:tcPr>
          <w:p w14:paraId="308E5673"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 xml:space="preserve"> 98.3%</w:t>
            </w:r>
          </w:p>
        </w:tc>
        <w:tc>
          <w:tcPr>
            <w:tcW w:w="2694" w:type="dxa"/>
            <w:tcBorders>
              <w:top w:val="nil"/>
              <w:left w:val="nil"/>
              <w:bottom w:val="single" w:sz="4" w:space="0" w:color="auto"/>
              <w:right w:val="single" w:sz="4" w:space="0" w:color="auto"/>
            </w:tcBorders>
            <w:vAlign w:val="center"/>
            <w:hideMark/>
          </w:tcPr>
          <w:p w14:paraId="5F97398A"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Overall major adverse event: 2.16%;</w:t>
            </w:r>
          </w:p>
          <w:p w14:paraId="47875313"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Cardiac arrest: 0.24%;</w:t>
            </w:r>
          </w:p>
          <w:p w14:paraId="2D8AE7FB"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Myocardial infarction 0.04%;</w:t>
            </w:r>
          </w:p>
          <w:p w14:paraId="44F24720"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Pericardial tamponade 1.39;</w:t>
            </w:r>
          </w:p>
          <w:p w14:paraId="1D9F6048"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Major vascular complications: 0.15;</w:t>
            </w:r>
          </w:p>
          <w:p w14:paraId="063D72D7"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Device embolization: 0.07%</w:t>
            </w:r>
          </w:p>
        </w:tc>
        <w:tc>
          <w:tcPr>
            <w:tcW w:w="2409" w:type="dxa"/>
            <w:tcBorders>
              <w:top w:val="nil"/>
              <w:left w:val="nil"/>
              <w:bottom w:val="single" w:sz="4" w:space="0" w:color="auto"/>
              <w:right w:val="single" w:sz="4" w:space="0" w:color="auto"/>
            </w:tcBorders>
            <w:noWrap/>
            <w:vAlign w:val="center"/>
            <w:hideMark/>
          </w:tcPr>
          <w:p w14:paraId="7E6B5CEC"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NA</w:t>
            </w:r>
          </w:p>
        </w:tc>
        <w:tc>
          <w:tcPr>
            <w:tcW w:w="1843" w:type="dxa"/>
            <w:tcBorders>
              <w:top w:val="nil"/>
              <w:left w:val="nil"/>
              <w:bottom w:val="single" w:sz="4" w:space="0" w:color="auto"/>
              <w:right w:val="single" w:sz="4" w:space="0" w:color="auto"/>
            </w:tcBorders>
            <w:noWrap/>
            <w:vAlign w:val="center"/>
            <w:hideMark/>
          </w:tcPr>
          <w:p w14:paraId="77D8BA20"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NA</w:t>
            </w:r>
          </w:p>
        </w:tc>
        <w:tc>
          <w:tcPr>
            <w:tcW w:w="992" w:type="dxa"/>
            <w:tcBorders>
              <w:top w:val="nil"/>
              <w:left w:val="nil"/>
              <w:bottom w:val="single" w:sz="4" w:space="0" w:color="auto"/>
              <w:right w:val="single" w:sz="4" w:space="0" w:color="auto"/>
            </w:tcBorders>
            <w:noWrap/>
            <w:vAlign w:val="center"/>
            <w:hideMark/>
          </w:tcPr>
          <w:p w14:paraId="50694925"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0.07%</w:t>
            </w:r>
          </w:p>
        </w:tc>
        <w:tc>
          <w:tcPr>
            <w:tcW w:w="2383" w:type="dxa"/>
            <w:tcBorders>
              <w:top w:val="nil"/>
              <w:left w:val="nil"/>
              <w:bottom w:val="single" w:sz="4" w:space="0" w:color="auto"/>
              <w:right w:val="single" w:sz="4" w:space="0" w:color="auto"/>
            </w:tcBorders>
            <w:vAlign w:val="center"/>
            <w:hideMark/>
          </w:tcPr>
          <w:p w14:paraId="72280374" w14:textId="2D090FD8" w:rsidR="00230F4F" w:rsidRPr="009B0F6E" w:rsidRDefault="00230F4F">
            <w:pPr>
              <w:widowControl w:val="0"/>
              <w:rPr>
                <w:rFonts w:ascii="Calibri" w:hAnsi="Calibri" w:cs="Calibri"/>
                <w:sz w:val="22"/>
                <w:szCs w:val="22"/>
                <w:lang w:eastAsia="it-IT"/>
              </w:rPr>
            </w:pPr>
            <w:r w:rsidRPr="009B0F6E">
              <w:rPr>
                <w:rFonts w:ascii="Calibri" w:hAnsi="Calibri" w:cs="Calibri"/>
                <w:sz w:val="22"/>
                <w:szCs w:val="22"/>
                <w:lang w:eastAsia="it-IT"/>
              </w:rPr>
              <w:t xml:space="preserve">Ischemic Stroke 0.12%, Hemorrhagic Stroke 0.01%, Undetermined Stroke 0.01%, TIA 0.04%, Intracranial Hemorrhage 0.01% </w:t>
            </w:r>
          </w:p>
        </w:tc>
        <w:tc>
          <w:tcPr>
            <w:tcW w:w="2244" w:type="dxa"/>
            <w:tcBorders>
              <w:top w:val="nil"/>
              <w:left w:val="nil"/>
              <w:bottom w:val="single" w:sz="4" w:space="0" w:color="auto"/>
              <w:right w:val="single" w:sz="4" w:space="0" w:color="auto"/>
            </w:tcBorders>
            <w:noWrap/>
            <w:vAlign w:val="center"/>
            <w:hideMark/>
          </w:tcPr>
          <w:p w14:paraId="04197261"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1.25%</w:t>
            </w:r>
          </w:p>
        </w:tc>
        <w:tc>
          <w:tcPr>
            <w:tcW w:w="2127" w:type="dxa"/>
            <w:tcBorders>
              <w:top w:val="nil"/>
              <w:left w:val="nil"/>
              <w:bottom w:val="single" w:sz="4" w:space="0" w:color="auto"/>
              <w:right w:val="single" w:sz="4" w:space="0" w:color="auto"/>
            </w:tcBorders>
            <w:vAlign w:val="center"/>
            <w:hideMark/>
          </w:tcPr>
          <w:p w14:paraId="5F45A2D1"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All-cause: 0.19%</w:t>
            </w:r>
          </w:p>
        </w:tc>
      </w:tr>
      <w:tr w:rsidR="00067B73" w:rsidRPr="009B0F6E" w14:paraId="72CE29F9" w14:textId="77777777" w:rsidTr="001E0E29">
        <w:trPr>
          <w:trHeight w:val="20"/>
        </w:trPr>
        <w:tc>
          <w:tcPr>
            <w:tcW w:w="1374" w:type="dxa"/>
            <w:tcBorders>
              <w:top w:val="nil"/>
              <w:left w:val="single" w:sz="4" w:space="0" w:color="auto"/>
              <w:bottom w:val="single" w:sz="4" w:space="0" w:color="auto"/>
              <w:right w:val="single" w:sz="4" w:space="0" w:color="auto"/>
            </w:tcBorders>
            <w:shd w:val="clear" w:color="000000" w:fill="8DB4E2"/>
            <w:noWrap/>
            <w:vAlign w:val="center"/>
            <w:hideMark/>
          </w:tcPr>
          <w:p w14:paraId="1ED50B3F" w14:textId="6959FD2B"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Osmancik et al. (2020)</w:t>
            </w:r>
            <w:r w:rsidRPr="009B0F6E">
              <w:rPr>
                <w:rFonts w:ascii="Calibri" w:hAnsi="Calibri" w:cs="Calibri"/>
                <w:sz w:val="22"/>
                <w:szCs w:val="22"/>
                <w:lang w:eastAsia="it-IT"/>
              </w:rPr>
              <w:fldChar w:fldCharType="begin"/>
            </w:r>
            <w:r w:rsidRPr="009B0F6E">
              <w:rPr>
                <w:rFonts w:ascii="Calibri" w:hAnsi="Calibri" w:cs="Calibri"/>
                <w:sz w:val="22"/>
                <w:szCs w:val="22"/>
                <w:lang w:eastAsia="it-IT"/>
              </w:rPr>
              <w:instrText xml:space="preserve"> ADDIN ZOTERO_ITEM CSL_CITATION {"citationID":"EgYxAHsG","properties":{"formattedCitation":"\\super 48\\nosupersub{}","plainCitation":"48","noteIndex":0},"citationItems":[{"id":1148,"uris":["http://zotero.org/users/16203173/items/MCVF54TV"],"itemData":{"id":1148,"type":"article-journal","abstract":"BACKGROUND: Percutaneous left atrial appendage closure (LAAC) is noninferior to vitamin K antagonists (VKAs) for preventing atrial fibrillation (AF)-related stroke. However, direct oral anticoagulants (DOACs) have an improved safety profile over VKAs, and their effect on cardiovascular and neurological outcomes relative to LAAC is unknown.\nOBJECTIVES: This study sought to compare DOACs with LAAC in high-risk patients with AF.\nMETHODS: Left Atrial Appendage Closure vs. Novel Anticoagulation Agents in Atrial Fibrillation (PRAGUE-17) was a multicenter, randomized, noninferiority trial comparing LAAC with DOACs. Patients were eligible to be enrolled if they had nonvalvular AF; were indicated for oral anticoagulation (OAC); and had a history of bleeding requiring intervention or hospitalization, a history of a cardioembolic event while taking an OAC, and/or a CHA2DS2-VASc of ≥3 and HAS-BLED of &gt;2. Patients were randomized to receive LAAC or DOAC. The primary composite outcome was stroke, transient ischemic attack, systemic embolism, cardiovascular death, major or nonmajor clinically relevant bleeding, or procedure-/device-related complications. The primary analysis was by modified intention to treat.\nRESULTS: A high-risk patient cohort (CHA2DS2-VASc: 4.7 ± 1.5) was randomized to receive LAAC (n = 201) or DOAC (n = 201). LAAC was successful in 181 of 201 (90.0%) patients. In the DOAC group, apixaban was most frequently used (192 of 201; 95.5%). At a median 19.9 months of follow-up, the annual rates of the primary outcome were 10.99% with LAAC and 13.42% with DOAC (subdistribution hazard ratio [sHR]: 0.84; 95% confidence interval [CI]: 0.53 to 1.31; p = 0.44; p = 0.004 for noninferiority). There were no differences between groups for the components of the composite endpoint: all-stroke/TIA (sHR: 1.00; 95% CI: 0.40 to 2.51), clinically significant bleeding (sHR: 0.81; 95% CI: 0.44 to 1.52), and cardiovascular death (sHR: 0.75; 95% CI: 0.34 to 1.62). Major LAAC-related complications occurred in 9 (4.5%) patients.\nCONCLUSIONS: Among patients at high risk for stroke and increased risk of bleeding, LAAC was noninferior to DOAC in preventing major AF-related cardiovascular, neurological, and bleeding events. (Left Atrial Appendage Closure vs. Novel Anticoagulation Agents in Atrial Fibrillation [PRAGUE-17]; NCT02426944).","container-title":"Journal of the American College of Cardiology","DOI":"10.1016/j.jacc.2020.04.067","ISSN":"1558-3597","issue":"25","journalAbbreviation":"J Am Coll Cardiol","language":"eng","note":"PMID: 32586585","page":"3122-3135","source":"PubMed","title":"Left Atrial Appendage Closure Versus Direct Oral Anticoagulants in High-Risk Patients With Atrial Fibrillation","volume":"75","author":[{"family":"Osmancik","given":"Pavel"},{"family":"Herman","given":"Dalibor"},{"family":"Neuzil","given":"Petr"},{"family":"Hala","given":"Pavel"},{"family":"Taborsky","given":"Milos"},{"family":"Kala","given":"Petr"},{"family":"Poloczek","given":"Martin"},{"family":"Stasek","given":"Josef"},{"family":"Haman","given":"Ludek"},{"family":"Branny","given":"Marian"},{"family":"Chovancik","given":"Jan"},{"family":"Cervinka","given":"Pavel"},{"family":"Holy","given":"Jiri"},{"family":"Kovarnik","given":"Tomas"},{"family":"Zemanek","given":"David"},{"family":"Havranek","given":"Stepan"},{"family":"Vancura","given":"Vlastimil"},{"family":"Opatrny","given":"Jan"},{"family":"Peichl","given":"Petr"},{"family":"Tousek","given":"Petr"},{"family":"Lekesova","given":"Veronika"},{"family":"Jarkovsky","given":"Jiri"},{"family":"Novackova","given":"Martina"},{"family":"Benesova","given":"Klara"},{"family":"Widimsky","given":"Petr"},{"family":"Reddy","given":"Vivek Y."},{"literal":"PRAGUE-17 Trial Investigators"}],"issued":{"date-parts":[["2020",6,30]]}}}],"schema":"https://github.com/citation-style-language/schema/raw/master/csl-citation.json"} </w:instrText>
            </w:r>
            <w:r w:rsidRPr="009B0F6E">
              <w:rPr>
                <w:rFonts w:ascii="Calibri" w:hAnsi="Calibri" w:cs="Calibri"/>
                <w:sz w:val="22"/>
                <w:szCs w:val="22"/>
                <w:lang w:eastAsia="it-IT"/>
              </w:rPr>
              <w:fldChar w:fldCharType="separate"/>
            </w:r>
            <w:r w:rsidRPr="009B0F6E">
              <w:rPr>
                <w:rFonts w:ascii="Calibri" w:hAnsi="Calibri" w:cs="Calibri"/>
                <w:sz w:val="22"/>
                <w:szCs w:val="22"/>
                <w:vertAlign w:val="superscript"/>
              </w:rPr>
              <w:t>5</w:t>
            </w:r>
            <w:r w:rsidR="000543F4" w:rsidRPr="009B0F6E">
              <w:rPr>
                <w:rFonts w:ascii="Calibri" w:hAnsi="Calibri" w:cs="Calibri"/>
                <w:sz w:val="22"/>
                <w:szCs w:val="22"/>
                <w:vertAlign w:val="superscript"/>
              </w:rPr>
              <w:t>0</w:t>
            </w:r>
            <w:r w:rsidRPr="009B0F6E">
              <w:rPr>
                <w:rFonts w:ascii="Calibri" w:hAnsi="Calibri" w:cs="Calibri"/>
                <w:sz w:val="22"/>
                <w:szCs w:val="22"/>
                <w:lang w:eastAsia="it-IT"/>
              </w:rPr>
              <w:fldChar w:fldCharType="end"/>
            </w:r>
          </w:p>
        </w:tc>
        <w:tc>
          <w:tcPr>
            <w:tcW w:w="1456" w:type="dxa"/>
            <w:tcBorders>
              <w:top w:val="nil"/>
              <w:left w:val="nil"/>
              <w:bottom w:val="single" w:sz="4" w:space="0" w:color="auto"/>
              <w:right w:val="single" w:sz="4" w:space="0" w:color="auto"/>
            </w:tcBorders>
            <w:noWrap/>
            <w:vAlign w:val="center"/>
            <w:hideMark/>
          </w:tcPr>
          <w:p w14:paraId="6E1D2AA1"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PRAGUE</w:t>
            </w:r>
            <w:r w:rsidRPr="009B0F6E">
              <w:rPr>
                <w:rFonts w:ascii="Calibri" w:hAnsi="Calibri" w:cs="Calibri"/>
                <w:sz w:val="22"/>
                <w:szCs w:val="22"/>
                <w:lang w:eastAsia="it-IT"/>
              </w:rPr>
              <w:noBreakHyphen/>
              <w:t>17</w:t>
            </w:r>
          </w:p>
        </w:tc>
        <w:tc>
          <w:tcPr>
            <w:tcW w:w="1560" w:type="dxa"/>
            <w:tcBorders>
              <w:top w:val="nil"/>
              <w:left w:val="nil"/>
              <w:bottom w:val="single" w:sz="4" w:space="0" w:color="auto"/>
              <w:right w:val="single" w:sz="4" w:space="0" w:color="auto"/>
            </w:tcBorders>
            <w:noWrap/>
            <w:vAlign w:val="center"/>
            <w:hideMark/>
          </w:tcPr>
          <w:p w14:paraId="6FF94BE9"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Watchman 2.5/FLX vs. Amulet</w:t>
            </w:r>
          </w:p>
        </w:tc>
        <w:tc>
          <w:tcPr>
            <w:tcW w:w="992" w:type="dxa"/>
            <w:tcBorders>
              <w:top w:val="nil"/>
              <w:left w:val="nil"/>
              <w:bottom w:val="single" w:sz="4" w:space="0" w:color="auto"/>
              <w:right w:val="single" w:sz="4" w:space="0" w:color="auto"/>
            </w:tcBorders>
            <w:noWrap/>
            <w:vAlign w:val="center"/>
            <w:hideMark/>
          </w:tcPr>
          <w:p w14:paraId="49E2195D"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21.1 months</w:t>
            </w:r>
          </w:p>
        </w:tc>
        <w:tc>
          <w:tcPr>
            <w:tcW w:w="850" w:type="dxa"/>
            <w:tcBorders>
              <w:top w:val="nil"/>
              <w:left w:val="nil"/>
              <w:bottom w:val="single" w:sz="4" w:space="0" w:color="auto"/>
              <w:right w:val="single" w:sz="4" w:space="0" w:color="auto"/>
            </w:tcBorders>
            <w:noWrap/>
            <w:vAlign w:val="center"/>
            <w:hideMark/>
          </w:tcPr>
          <w:p w14:paraId="01F3D809"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NA</w:t>
            </w:r>
          </w:p>
        </w:tc>
        <w:tc>
          <w:tcPr>
            <w:tcW w:w="2694" w:type="dxa"/>
            <w:tcBorders>
              <w:top w:val="nil"/>
              <w:left w:val="nil"/>
              <w:bottom w:val="single" w:sz="4" w:space="0" w:color="auto"/>
              <w:right w:val="single" w:sz="4" w:space="0" w:color="auto"/>
            </w:tcBorders>
            <w:vAlign w:val="center"/>
            <w:hideMark/>
          </w:tcPr>
          <w:p w14:paraId="02B37D2E"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Overall: 2.00%;</w:t>
            </w:r>
          </w:p>
          <w:p w14:paraId="3AD61220"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Pericardial effusion 1%;</w:t>
            </w:r>
          </w:p>
          <w:p w14:paraId="418219E1"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Procedure-related death 1%;</w:t>
            </w:r>
          </w:p>
          <w:p w14:paraId="3727B125"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Major vascular complications 1%; Device embolization: 0.5%</w:t>
            </w:r>
          </w:p>
        </w:tc>
        <w:tc>
          <w:tcPr>
            <w:tcW w:w="2409" w:type="dxa"/>
            <w:tcBorders>
              <w:top w:val="nil"/>
              <w:left w:val="nil"/>
              <w:bottom w:val="single" w:sz="4" w:space="0" w:color="auto"/>
              <w:right w:val="single" w:sz="4" w:space="0" w:color="auto"/>
            </w:tcBorders>
            <w:noWrap/>
            <w:vAlign w:val="center"/>
            <w:hideMark/>
          </w:tcPr>
          <w:p w14:paraId="08C39B35"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NA</w:t>
            </w:r>
          </w:p>
        </w:tc>
        <w:tc>
          <w:tcPr>
            <w:tcW w:w="1843" w:type="dxa"/>
            <w:tcBorders>
              <w:top w:val="nil"/>
              <w:left w:val="nil"/>
              <w:bottom w:val="single" w:sz="4" w:space="0" w:color="auto"/>
              <w:right w:val="single" w:sz="4" w:space="0" w:color="auto"/>
            </w:tcBorders>
            <w:noWrap/>
            <w:vAlign w:val="center"/>
            <w:hideMark/>
          </w:tcPr>
          <w:p w14:paraId="5325EDA9"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NA</w:t>
            </w:r>
          </w:p>
        </w:tc>
        <w:tc>
          <w:tcPr>
            <w:tcW w:w="992" w:type="dxa"/>
            <w:tcBorders>
              <w:top w:val="nil"/>
              <w:left w:val="nil"/>
              <w:bottom w:val="single" w:sz="4" w:space="0" w:color="auto"/>
              <w:right w:val="single" w:sz="4" w:space="0" w:color="auto"/>
            </w:tcBorders>
            <w:noWrap/>
            <w:vAlign w:val="center"/>
            <w:hideMark/>
          </w:tcPr>
          <w:p w14:paraId="711B4914"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0.5%</w:t>
            </w:r>
          </w:p>
        </w:tc>
        <w:tc>
          <w:tcPr>
            <w:tcW w:w="2383" w:type="dxa"/>
            <w:tcBorders>
              <w:top w:val="nil"/>
              <w:left w:val="nil"/>
              <w:bottom w:val="single" w:sz="4" w:space="0" w:color="auto"/>
              <w:right w:val="single" w:sz="4" w:space="0" w:color="auto"/>
            </w:tcBorders>
            <w:vAlign w:val="center"/>
            <w:hideMark/>
          </w:tcPr>
          <w:p w14:paraId="3ECF788E"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Overall: DOAC 2.57% vs. LAAC 2.60%;</w:t>
            </w:r>
          </w:p>
          <w:p w14:paraId="3850B5D4"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Ischemic stroke/TIA: DOAC 2.28% vs. LAAC 2.60%;</w:t>
            </w:r>
          </w:p>
          <w:p w14:paraId="0B5C627B"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Systemic embolism: DOAC 0.29% vs. LAAC 0%</w:t>
            </w:r>
          </w:p>
        </w:tc>
        <w:tc>
          <w:tcPr>
            <w:tcW w:w="2244" w:type="dxa"/>
            <w:tcBorders>
              <w:top w:val="nil"/>
              <w:left w:val="nil"/>
              <w:bottom w:val="single" w:sz="4" w:space="0" w:color="auto"/>
              <w:right w:val="single" w:sz="4" w:space="0" w:color="auto"/>
            </w:tcBorders>
            <w:vAlign w:val="center"/>
            <w:hideMark/>
          </w:tcPr>
          <w:p w14:paraId="723AC1B4"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DOAC 7.42% vs. LAAC 5.50%</w:t>
            </w:r>
          </w:p>
        </w:tc>
        <w:tc>
          <w:tcPr>
            <w:tcW w:w="2127" w:type="dxa"/>
            <w:tcBorders>
              <w:top w:val="nil"/>
              <w:left w:val="nil"/>
              <w:bottom w:val="single" w:sz="4" w:space="0" w:color="auto"/>
              <w:right w:val="single" w:sz="4" w:space="0" w:color="auto"/>
            </w:tcBorders>
            <w:vAlign w:val="center"/>
            <w:hideMark/>
          </w:tcPr>
          <w:p w14:paraId="5325F8FF"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CV: DOAC 4.28% vs. LAAC 3.18%</w:t>
            </w:r>
          </w:p>
        </w:tc>
      </w:tr>
      <w:tr w:rsidR="00067B73" w:rsidRPr="009B0F6E" w14:paraId="543F3505" w14:textId="77777777" w:rsidTr="001E0E29">
        <w:trPr>
          <w:trHeight w:val="20"/>
        </w:trPr>
        <w:tc>
          <w:tcPr>
            <w:tcW w:w="1374" w:type="dxa"/>
            <w:tcBorders>
              <w:top w:val="nil"/>
              <w:left w:val="single" w:sz="4" w:space="0" w:color="auto"/>
              <w:bottom w:val="single" w:sz="4" w:space="0" w:color="auto"/>
              <w:right w:val="single" w:sz="4" w:space="0" w:color="auto"/>
            </w:tcBorders>
            <w:shd w:val="clear" w:color="000000" w:fill="8DB4E2"/>
            <w:noWrap/>
            <w:vAlign w:val="center"/>
            <w:hideMark/>
          </w:tcPr>
          <w:p w14:paraId="6A2D1F67" w14:textId="3C524E63"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Kar et al. (2021)</w:t>
            </w:r>
            <w:r w:rsidRPr="009B0F6E">
              <w:rPr>
                <w:rFonts w:ascii="Calibri" w:hAnsi="Calibri" w:cs="Calibri"/>
                <w:sz w:val="22"/>
                <w:szCs w:val="22"/>
                <w:lang w:eastAsia="it-IT"/>
              </w:rPr>
              <w:fldChar w:fldCharType="begin"/>
            </w:r>
            <w:r w:rsidRPr="009B0F6E">
              <w:rPr>
                <w:rFonts w:ascii="Calibri" w:hAnsi="Calibri" w:cs="Calibri"/>
                <w:sz w:val="22"/>
                <w:szCs w:val="22"/>
                <w:lang w:eastAsia="it-IT"/>
              </w:rPr>
              <w:instrText xml:space="preserve"> ADDIN ZOTERO_ITEM CSL_CITATION {"citationID":"XgRt6pWp","properties":{"formattedCitation":"\\super 18\\nosupersub{}","plainCitation":"18","noteIndex":0},"citationItems":[{"id":1201,"uris":["http://zotero.org/users/16203173/items/594PK85G"],"itemData":{"id":1201,"type":"article-journal","abstract":"BACKGROUND: Left atrial appendage (LAA) occlusion provides an alternative to oral anticoagulation for thromboembolic risk reduction in patients with nonvalvular atrial fibrillation. Since regulatory approval in 2015, the WATCHMAN device has been the only LAA closure device available for clinical use in the United States. The PINNACLE FLX study (Protection Against Embolism for Nonvalvular AF Patients: Investigational Device Evaluation of the Watchman FLX LAA Closure Technology) evaluated the safety and effectiveness of the next-generation WATCHMAN FLX LAA closure device in patients with nonvalvular atrial fibrillation in whom oral anticoagulation is indicated, but who have an appropriate rationale to seek a nonpharmaceutical alternative.\nMETHODS: This was a prospective, nonrandomized, multicenter US Food and Drug Administration study. The primary safety end point was the occurrence of one of the following events within 7 days after the procedure or by hospital discharge, whichever was later: death, ischemic stroke, systemic embolism, or device- or procedure-related events requiring cardiac surgery. The primary effectiveness end point was the incidence of effective LAA closure (peri-device flow ≤5 mm), as assessed by the echocardiography core laboratory at 12-month follow-up.\nRESULTS: A total of 400 patients were enrolled. The mean age was 73.8±8.6 years and the mean CHA2DS2-VASc score was 4.2±1.5. The incidence of the primary safety end point was 0.5% with a 1-sided 95% upper CI of 1.6%, meeting the performance goal of 4.2% (P&lt;0.0001). The incidence of the primary effectiveness end point was 100%, with a 1-sided 95% lower CI of 99.1%, again meeting the performance goal of 97.0% (P&lt;0.0001). Device-related thrombus was reported in 7 patients, no patients experienced pericardial effusion requiring open cardiac surgery, and there were no device embolizations.\nCONCLUSIONS: LAA closure with this next-generation LAA closure device was associated with a low incidence of adverse events and a high incidence of anatomic closure. Registration: URL: https://www.clinicaltrials.gov; Unique identifier: NCT02702271.","container-title":"Circulation","DOI":"10.1161/CIRCULATIONAHA.120.050117","ISSN":"1524-4539","issue":"18","journalAbbreviation":"Circulation","language":"eng","note":"PMID: 33820423","page":"1754-1762","source":"PubMed","title":"Primary Outcome Evaluation of a Next-Generation Left Atrial Appendage Closure Device: Results From the PINNACLE FLX Trial","title-short":"Primary Outcome Evaluation of a Next-Generation Left Atrial Appendage Closure Device","volume":"143","author":[{"family":"Kar","given":"Saibal"},{"family":"Doshi","given":"Shephal K."},{"family":"Sadhu","given":"Ashish"},{"family":"Horton","given":"Rodney"},{"family":"Osorio","given":"Jose"},{"family":"Ellis","given":"Christopher"},{"family":"Stone","given":"James"},{"family":"Shah","given":"Manish"},{"family":"Dukkipati","given":"Srinivas R."},{"family":"Adler","given":"Stuart"},{"family":"Nair","given":"Devi G."},{"family":"Kim","given":"Jamie"},{"family":"Wazni","given":"Oussama"},{"family":"Price","given":"Mathew J."},{"family":"Asch","given":"Federico M."},{"family":"Holmes","given":"David R."},{"family":"Shipley","given":"Robert D."},{"family":"Gordon","given":"Nicole T."},{"family":"Allocco","given":"Dominic J."},{"family":"Reddy","given":"Vivek Y."},{"literal":"PINNACLE FLX Investigators"}],"issued":{"date-parts":[["2021",5,4]]}}}],"schema":"https://github.com/citation-style-language/schema/raw/master/csl-citation.json"} </w:instrText>
            </w:r>
            <w:r w:rsidRPr="009B0F6E">
              <w:rPr>
                <w:rFonts w:ascii="Calibri" w:hAnsi="Calibri" w:cs="Calibri"/>
                <w:sz w:val="22"/>
                <w:szCs w:val="22"/>
                <w:lang w:eastAsia="it-IT"/>
              </w:rPr>
              <w:fldChar w:fldCharType="separate"/>
            </w:r>
            <w:r w:rsidRPr="009B0F6E">
              <w:rPr>
                <w:rFonts w:ascii="Calibri" w:hAnsi="Calibri" w:cs="Calibri"/>
                <w:sz w:val="22"/>
                <w:szCs w:val="22"/>
                <w:vertAlign w:val="superscript"/>
              </w:rPr>
              <w:t>1</w:t>
            </w:r>
            <w:r w:rsidR="000543F4" w:rsidRPr="009B0F6E">
              <w:rPr>
                <w:rFonts w:ascii="Calibri" w:hAnsi="Calibri" w:cs="Calibri"/>
                <w:sz w:val="22"/>
                <w:szCs w:val="22"/>
                <w:vertAlign w:val="superscript"/>
              </w:rPr>
              <w:t>7</w:t>
            </w:r>
            <w:r w:rsidRPr="009B0F6E">
              <w:rPr>
                <w:rFonts w:ascii="Calibri" w:hAnsi="Calibri" w:cs="Calibri"/>
                <w:sz w:val="22"/>
                <w:szCs w:val="22"/>
                <w:lang w:eastAsia="it-IT"/>
              </w:rPr>
              <w:fldChar w:fldCharType="end"/>
            </w:r>
          </w:p>
        </w:tc>
        <w:tc>
          <w:tcPr>
            <w:tcW w:w="1456" w:type="dxa"/>
            <w:tcBorders>
              <w:top w:val="nil"/>
              <w:left w:val="nil"/>
              <w:bottom w:val="single" w:sz="4" w:space="0" w:color="auto"/>
              <w:right w:val="single" w:sz="4" w:space="0" w:color="auto"/>
            </w:tcBorders>
            <w:noWrap/>
            <w:vAlign w:val="center"/>
            <w:hideMark/>
          </w:tcPr>
          <w:p w14:paraId="601AACA0"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PINNACLE FLX</w:t>
            </w:r>
          </w:p>
        </w:tc>
        <w:tc>
          <w:tcPr>
            <w:tcW w:w="1560" w:type="dxa"/>
            <w:tcBorders>
              <w:top w:val="nil"/>
              <w:left w:val="nil"/>
              <w:bottom w:val="single" w:sz="4" w:space="0" w:color="auto"/>
              <w:right w:val="single" w:sz="4" w:space="0" w:color="auto"/>
            </w:tcBorders>
            <w:noWrap/>
            <w:vAlign w:val="center"/>
            <w:hideMark/>
          </w:tcPr>
          <w:p w14:paraId="7A5D59C7"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Watchman FLX</w:t>
            </w:r>
          </w:p>
        </w:tc>
        <w:tc>
          <w:tcPr>
            <w:tcW w:w="992" w:type="dxa"/>
            <w:tcBorders>
              <w:top w:val="nil"/>
              <w:left w:val="nil"/>
              <w:bottom w:val="single" w:sz="4" w:space="0" w:color="auto"/>
              <w:right w:val="single" w:sz="4" w:space="0" w:color="auto"/>
            </w:tcBorders>
            <w:noWrap/>
            <w:vAlign w:val="center"/>
            <w:hideMark/>
          </w:tcPr>
          <w:p w14:paraId="6A4A1775"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1 year</w:t>
            </w:r>
          </w:p>
        </w:tc>
        <w:tc>
          <w:tcPr>
            <w:tcW w:w="850" w:type="dxa"/>
            <w:tcBorders>
              <w:top w:val="nil"/>
              <w:left w:val="nil"/>
              <w:bottom w:val="single" w:sz="4" w:space="0" w:color="auto"/>
              <w:right w:val="single" w:sz="4" w:space="0" w:color="auto"/>
            </w:tcBorders>
            <w:noWrap/>
            <w:vAlign w:val="center"/>
            <w:hideMark/>
          </w:tcPr>
          <w:p w14:paraId="3772E08F"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98.8%</w:t>
            </w:r>
          </w:p>
        </w:tc>
        <w:tc>
          <w:tcPr>
            <w:tcW w:w="2694" w:type="dxa"/>
            <w:tcBorders>
              <w:top w:val="nil"/>
              <w:left w:val="nil"/>
              <w:bottom w:val="single" w:sz="4" w:space="0" w:color="auto"/>
              <w:right w:val="single" w:sz="4" w:space="0" w:color="auto"/>
            </w:tcBorders>
            <w:noWrap/>
            <w:vAlign w:val="center"/>
            <w:hideMark/>
          </w:tcPr>
          <w:p w14:paraId="4D1DADDB"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0.5%</w:t>
            </w:r>
          </w:p>
        </w:tc>
        <w:tc>
          <w:tcPr>
            <w:tcW w:w="2409" w:type="dxa"/>
            <w:tcBorders>
              <w:top w:val="nil"/>
              <w:left w:val="nil"/>
              <w:bottom w:val="single" w:sz="4" w:space="0" w:color="auto"/>
              <w:right w:val="single" w:sz="4" w:space="0" w:color="auto"/>
            </w:tcBorders>
            <w:noWrap/>
            <w:vAlign w:val="center"/>
            <w:hideMark/>
          </w:tcPr>
          <w:p w14:paraId="06A39795"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17.2% at 45 days; 10.5 % at 12 months</w:t>
            </w:r>
          </w:p>
        </w:tc>
        <w:tc>
          <w:tcPr>
            <w:tcW w:w="1843" w:type="dxa"/>
            <w:tcBorders>
              <w:top w:val="nil"/>
              <w:left w:val="nil"/>
              <w:bottom w:val="single" w:sz="4" w:space="0" w:color="auto"/>
              <w:right w:val="single" w:sz="4" w:space="0" w:color="auto"/>
            </w:tcBorders>
            <w:noWrap/>
            <w:vAlign w:val="center"/>
            <w:hideMark/>
          </w:tcPr>
          <w:p w14:paraId="4CFAED9E"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1.86%</w:t>
            </w:r>
          </w:p>
        </w:tc>
        <w:tc>
          <w:tcPr>
            <w:tcW w:w="992" w:type="dxa"/>
            <w:tcBorders>
              <w:top w:val="nil"/>
              <w:left w:val="nil"/>
              <w:bottom w:val="single" w:sz="4" w:space="0" w:color="auto"/>
              <w:right w:val="single" w:sz="4" w:space="0" w:color="auto"/>
            </w:tcBorders>
            <w:vAlign w:val="center"/>
            <w:hideMark/>
          </w:tcPr>
          <w:p w14:paraId="517AB2F8"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0%</w:t>
            </w:r>
          </w:p>
        </w:tc>
        <w:tc>
          <w:tcPr>
            <w:tcW w:w="2383" w:type="dxa"/>
            <w:tcBorders>
              <w:top w:val="nil"/>
              <w:left w:val="nil"/>
              <w:bottom w:val="single" w:sz="4" w:space="0" w:color="auto"/>
              <w:right w:val="single" w:sz="4" w:space="0" w:color="auto"/>
            </w:tcBorders>
            <w:vAlign w:val="center"/>
            <w:hideMark/>
          </w:tcPr>
          <w:p w14:paraId="6B30B580" w14:textId="3C95F7CB"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All stroke: 2.6 % (no hemorrhagic stroke);</w:t>
            </w:r>
          </w:p>
          <w:p w14:paraId="46AFCE6F"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 xml:space="preserve"> TIA: 0.3%;</w:t>
            </w:r>
          </w:p>
          <w:p w14:paraId="618F578E"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Systemic embolism 0.3%</w:t>
            </w:r>
          </w:p>
        </w:tc>
        <w:tc>
          <w:tcPr>
            <w:tcW w:w="2244" w:type="dxa"/>
            <w:tcBorders>
              <w:top w:val="nil"/>
              <w:left w:val="nil"/>
              <w:bottom w:val="single" w:sz="4" w:space="0" w:color="auto"/>
              <w:right w:val="single" w:sz="4" w:space="0" w:color="auto"/>
            </w:tcBorders>
            <w:noWrap/>
            <w:vAlign w:val="center"/>
            <w:hideMark/>
          </w:tcPr>
          <w:p w14:paraId="531EDD9E"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7.9%</w:t>
            </w:r>
          </w:p>
        </w:tc>
        <w:tc>
          <w:tcPr>
            <w:tcW w:w="2127" w:type="dxa"/>
            <w:tcBorders>
              <w:top w:val="nil"/>
              <w:left w:val="nil"/>
              <w:bottom w:val="single" w:sz="4" w:space="0" w:color="auto"/>
              <w:right w:val="single" w:sz="4" w:space="0" w:color="auto"/>
            </w:tcBorders>
            <w:noWrap/>
            <w:vAlign w:val="center"/>
            <w:hideMark/>
          </w:tcPr>
          <w:p w14:paraId="6228D9FA"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6.6%</w:t>
            </w:r>
          </w:p>
        </w:tc>
      </w:tr>
      <w:tr w:rsidR="00067B73" w:rsidRPr="009B0F6E" w14:paraId="181F5F03" w14:textId="77777777" w:rsidTr="001E0E29">
        <w:trPr>
          <w:trHeight w:val="20"/>
        </w:trPr>
        <w:tc>
          <w:tcPr>
            <w:tcW w:w="1374" w:type="dxa"/>
            <w:tcBorders>
              <w:top w:val="nil"/>
              <w:left w:val="single" w:sz="4" w:space="0" w:color="auto"/>
              <w:bottom w:val="single" w:sz="4" w:space="0" w:color="auto"/>
              <w:right w:val="single" w:sz="4" w:space="0" w:color="auto"/>
            </w:tcBorders>
            <w:shd w:val="clear" w:color="000000" w:fill="8DB4E2"/>
            <w:noWrap/>
            <w:vAlign w:val="center"/>
            <w:hideMark/>
          </w:tcPr>
          <w:p w14:paraId="17E1DB8F" w14:textId="604FF9B1"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Lakkireddy et al. (2021)</w:t>
            </w:r>
            <w:r w:rsidRPr="009B0F6E">
              <w:rPr>
                <w:rFonts w:ascii="Calibri" w:hAnsi="Calibri" w:cs="Calibri"/>
                <w:sz w:val="22"/>
                <w:szCs w:val="22"/>
                <w:lang w:eastAsia="it-IT"/>
              </w:rPr>
              <w:fldChar w:fldCharType="begin"/>
            </w:r>
            <w:r w:rsidRPr="009B0F6E">
              <w:rPr>
                <w:rFonts w:ascii="Calibri" w:hAnsi="Calibri" w:cs="Calibri"/>
                <w:sz w:val="22"/>
                <w:szCs w:val="22"/>
                <w:lang w:eastAsia="it-IT"/>
              </w:rPr>
              <w:instrText xml:space="preserve"> ADDIN ZOTERO_ITEM CSL_CITATION {"citationID":"2jAN10GY","properties":{"formattedCitation":"\\super 28\\nosupersub{}","plainCitation":"28","noteIndex":0},"citationItems":[{"id":1165,"uris":["http://zotero.org/users/16203173/items/CQZG9G3A"],"itemData":{"id":1165,"type":"article-journal","abstract":"Background:\n\nPercutaneous closure of the left atrial appendage (LAA) is an alternative to chronic oral anticoagulation to reduce stroke risk in patients with nonvalvular atrial fibrillation. The Amulet IDE trial (Amplatzer Amulet Left Atrial Appendage Occluder IDE Trial) was designed to evaluate the safety and effectiveness of the dual-seal mechanism of the Amulet LAA occluder compared with the Watchman device.\nMethods:\n\nPatients with nonvalvular atrial fibrillation at increased risk of stroke were randomly assigned (1:1) to undergo percutaneous implantation of a LAA occluder with the Amulet occluder or Watchman device. The primary end points included safety (composite of procedure-related complications, all-cause death, or major bleeding at 12 months), effectiveness (composite of ischemic stroke or systemic embolism at 18 months), and the rate of LAA occlusion at 45 days. Prespecified secondary end points included a composite of all stroke, systemic embolism, or cardiovascular/unexplained death at 18 months, major bleeding at 18 months, and superiority test of the 3 primary end points.\nResults:\n\nA total of 1878 patients were enrolled. The Amulet occluder was noninferior to the Watchman device for the primary safety end point (14.5% versus 14.7%; difference=–0.14 [95% CI, –3.42 to 3.13]; P&lt;0.001 for noninferiority). Major bleeding and all-cause death were similar between groups (10.6% versus 10.0% and 3.9% versus 5.1%, respectively). Procedure-related complications were higher for the Amulet occluder (4.5% versus 2.5%), largely related to more frequent pericardial effusion and device embolization. The Amulet occluder was noninferior to the Watchman device for the primary effectiveness end point (2.8% versus 2.8%; difference=0.00 [95% CI, –1.55 to 1.55]; P&lt;0.001 for noninferiority), and the composite of stroke, systemic embolism, or cardiovascular/unexplained death (5.6% versus 7.7%, difference=–2.12 [95% CI, –4.45 to 0.21]; P&lt;0.001 for noninferiority). The rate of major bleeding was similar between groups (11.6% versus 12.3%; difference=–0.71 [95% CI, –3.72 to 2.31]; P=0.32 for superiority). LAA occlusion was higher for the Amulet occluder than for the Watchman device (98.9% versus 96.8%; difference=2.03 [95% CI, 0.41–3.66]; P&lt;0.001 for noninferiority; P=0.003 for superiority).\nConclusions:\n\nThe Amulet occluder was noninferior for safety and effectiveness of stroke prevention for nonvalvular atrial fibrillation compared with the Watchman device and superior for LAA occlusion. Procedure-related complications were higher with the Amulet occluder and decreased with operator experience.\nRegistration:\n\nURL: https://www.clinicaltrials.gov; Unique identifier: NCT02879448.","container-title":"Circulation","DOI":"10.1161/CIRCULATIONAHA.121.057063","issue":"19","note":"publisher: American Heart Association","page":"1543-1552","source":"ahajournals.org (Atypon)","title":"Amplatzer Amulet Left Atrial Appendage Occluder Versus Watchman Device for Stroke Prophylaxis (Amulet IDE): A Randomized, Controlled Trial","title-short":"Amplatzer Amulet Left Atrial Appendage Occluder Versus Watchman Device for Stroke Prophylaxis (Amulet IDE)","volume":"144","author":[{"family":"Lakkireddy","given":"Dhanunjaya"},{"family":"Thaler","given":"David"},{"family":"Ellis","given":"Christopher R."},{"family":"Swarup","given":"Vijendra"},{"family":"Sondergaard","given":"Lars"},{"family":"Carroll","given":"John"},{"family":"Gold","given":"Michael R."},{"family":"Hermiller","given":"James"},{"family":"Diener","given":"Hans-Christoph"},{"family":"Schmidt","given":"Boris"},{"family":"MacDonald","given":"Lee"},{"family":"Mansour","given":"Moussa"},{"family":"Maini","given":"Brijeshwar"},{"family":"O’Brien","given":"Laura"},{"family":"Windecker","given":"Stephan"},{"literal":"on behalf of the Amulet IDE Investigators"}],"issued":{"date-parts":[["2021",11,9]]}}}],"schema":"https://github.com/citation-style-language/schema/raw/master/csl-citation.json"} </w:instrText>
            </w:r>
            <w:r w:rsidRPr="009B0F6E">
              <w:rPr>
                <w:rFonts w:ascii="Calibri" w:hAnsi="Calibri" w:cs="Calibri"/>
                <w:sz w:val="22"/>
                <w:szCs w:val="22"/>
                <w:lang w:eastAsia="it-IT"/>
              </w:rPr>
              <w:fldChar w:fldCharType="separate"/>
            </w:r>
            <w:r w:rsidRPr="009B0F6E">
              <w:rPr>
                <w:rFonts w:ascii="Calibri" w:hAnsi="Calibri" w:cs="Calibri"/>
                <w:sz w:val="22"/>
                <w:szCs w:val="22"/>
                <w:vertAlign w:val="superscript"/>
              </w:rPr>
              <w:t>2</w:t>
            </w:r>
            <w:r w:rsidR="000543F4" w:rsidRPr="009B0F6E">
              <w:rPr>
                <w:rFonts w:ascii="Calibri" w:hAnsi="Calibri" w:cs="Calibri"/>
                <w:sz w:val="22"/>
                <w:szCs w:val="22"/>
                <w:vertAlign w:val="superscript"/>
              </w:rPr>
              <w:t>7</w:t>
            </w:r>
            <w:r w:rsidRPr="009B0F6E">
              <w:rPr>
                <w:rFonts w:ascii="Calibri" w:hAnsi="Calibri" w:cs="Calibri"/>
                <w:sz w:val="22"/>
                <w:szCs w:val="22"/>
                <w:lang w:eastAsia="it-IT"/>
              </w:rPr>
              <w:fldChar w:fldCharType="end"/>
            </w:r>
          </w:p>
        </w:tc>
        <w:tc>
          <w:tcPr>
            <w:tcW w:w="1456" w:type="dxa"/>
            <w:tcBorders>
              <w:top w:val="nil"/>
              <w:left w:val="nil"/>
              <w:bottom w:val="single" w:sz="4" w:space="0" w:color="auto"/>
              <w:right w:val="single" w:sz="4" w:space="0" w:color="auto"/>
            </w:tcBorders>
            <w:noWrap/>
            <w:vAlign w:val="center"/>
            <w:hideMark/>
          </w:tcPr>
          <w:p w14:paraId="4EB0AF27"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Amulet IDE</w:t>
            </w:r>
          </w:p>
        </w:tc>
        <w:tc>
          <w:tcPr>
            <w:tcW w:w="1560" w:type="dxa"/>
            <w:tcBorders>
              <w:top w:val="nil"/>
              <w:left w:val="nil"/>
              <w:bottom w:val="single" w:sz="4" w:space="0" w:color="auto"/>
              <w:right w:val="single" w:sz="4" w:space="0" w:color="auto"/>
            </w:tcBorders>
            <w:noWrap/>
            <w:vAlign w:val="center"/>
            <w:hideMark/>
          </w:tcPr>
          <w:p w14:paraId="6B3C3977"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Amulet vs. Watchman 2.5</w:t>
            </w:r>
          </w:p>
        </w:tc>
        <w:tc>
          <w:tcPr>
            <w:tcW w:w="992" w:type="dxa"/>
            <w:tcBorders>
              <w:top w:val="nil"/>
              <w:left w:val="nil"/>
              <w:bottom w:val="single" w:sz="4" w:space="0" w:color="auto"/>
              <w:right w:val="single" w:sz="4" w:space="0" w:color="auto"/>
            </w:tcBorders>
            <w:noWrap/>
            <w:vAlign w:val="center"/>
            <w:hideMark/>
          </w:tcPr>
          <w:p w14:paraId="00758352"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1 year</w:t>
            </w:r>
          </w:p>
        </w:tc>
        <w:tc>
          <w:tcPr>
            <w:tcW w:w="850" w:type="dxa"/>
            <w:tcBorders>
              <w:top w:val="nil"/>
              <w:left w:val="nil"/>
              <w:bottom w:val="single" w:sz="4" w:space="0" w:color="auto"/>
              <w:right w:val="single" w:sz="4" w:space="0" w:color="auto"/>
            </w:tcBorders>
            <w:vAlign w:val="center"/>
            <w:hideMark/>
          </w:tcPr>
          <w:p w14:paraId="373B8248"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Amulet 98.4% vs. Watchman 96.4%</w:t>
            </w:r>
          </w:p>
        </w:tc>
        <w:tc>
          <w:tcPr>
            <w:tcW w:w="2694" w:type="dxa"/>
            <w:tcBorders>
              <w:top w:val="nil"/>
              <w:left w:val="nil"/>
              <w:bottom w:val="single" w:sz="4" w:space="0" w:color="auto"/>
              <w:right w:val="single" w:sz="4" w:space="0" w:color="auto"/>
            </w:tcBorders>
            <w:vAlign w:val="center"/>
            <w:hideMark/>
          </w:tcPr>
          <w:p w14:paraId="0101E56B"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Amulet 4.5% vs. Watchman 2.5%, P = 0.02; largely related to more frequent pericardial effusion and device embolization</w:t>
            </w:r>
          </w:p>
        </w:tc>
        <w:tc>
          <w:tcPr>
            <w:tcW w:w="2409" w:type="dxa"/>
            <w:tcBorders>
              <w:top w:val="nil"/>
              <w:left w:val="nil"/>
              <w:bottom w:val="single" w:sz="4" w:space="0" w:color="auto"/>
              <w:right w:val="single" w:sz="4" w:space="0" w:color="auto"/>
            </w:tcBorders>
            <w:noWrap/>
            <w:vAlign w:val="center"/>
            <w:hideMark/>
          </w:tcPr>
          <w:p w14:paraId="40CAEFF8"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Amulet 1.1% vs. Watchman 3.2%, (P = 0.003)</w:t>
            </w:r>
          </w:p>
        </w:tc>
        <w:tc>
          <w:tcPr>
            <w:tcW w:w="1843" w:type="dxa"/>
            <w:tcBorders>
              <w:top w:val="nil"/>
              <w:left w:val="nil"/>
              <w:bottom w:val="single" w:sz="4" w:space="0" w:color="auto"/>
              <w:right w:val="single" w:sz="4" w:space="0" w:color="auto"/>
            </w:tcBorders>
            <w:noWrap/>
            <w:vAlign w:val="center"/>
            <w:hideMark/>
          </w:tcPr>
          <w:p w14:paraId="4464DC7B"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Amulet 3.3% vs. Watchman 4.5%, P &gt; 0.05</w:t>
            </w:r>
          </w:p>
        </w:tc>
        <w:tc>
          <w:tcPr>
            <w:tcW w:w="992" w:type="dxa"/>
            <w:tcBorders>
              <w:top w:val="nil"/>
              <w:left w:val="nil"/>
              <w:bottom w:val="single" w:sz="4" w:space="0" w:color="auto"/>
              <w:right w:val="single" w:sz="4" w:space="0" w:color="auto"/>
            </w:tcBorders>
            <w:noWrap/>
            <w:vAlign w:val="center"/>
            <w:hideMark/>
          </w:tcPr>
          <w:p w14:paraId="6C6B2263"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NA</w:t>
            </w:r>
          </w:p>
        </w:tc>
        <w:tc>
          <w:tcPr>
            <w:tcW w:w="2383" w:type="dxa"/>
            <w:tcBorders>
              <w:top w:val="nil"/>
              <w:left w:val="nil"/>
              <w:bottom w:val="single" w:sz="4" w:space="0" w:color="auto"/>
              <w:right w:val="single" w:sz="4" w:space="0" w:color="auto"/>
            </w:tcBorders>
            <w:vAlign w:val="center"/>
            <w:hideMark/>
          </w:tcPr>
          <w:p w14:paraId="651329A5"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Ischemic stroke at 12 months: Amulet 2.5% vs. Watchman 2.7%, P &gt; 0.05;</w:t>
            </w:r>
          </w:p>
          <w:p w14:paraId="2B319E8C"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Hemorrhagic stroke at 12 months: Amulet 0.3% vs. Watchman 0.7%, P &gt; 0.05;</w:t>
            </w:r>
          </w:p>
          <w:p w14:paraId="299C2126"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Systemic embolism: Amulet 0.3% vs. Watchman 0.2%, P &gt; 0.05;</w:t>
            </w:r>
          </w:p>
          <w:p w14:paraId="65B082CC"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 xml:space="preserve"> TIA at 12 months: Amulet 1.6% vs. Watchman 1.4%, P &gt; 0.05 </w:t>
            </w:r>
          </w:p>
        </w:tc>
        <w:tc>
          <w:tcPr>
            <w:tcW w:w="2244" w:type="dxa"/>
            <w:tcBorders>
              <w:top w:val="nil"/>
              <w:left w:val="nil"/>
              <w:bottom w:val="single" w:sz="4" w:space="0" w:color="auto"/>
              <w:right w:val="single" w:sz="4" w:space="0" w:color="auto"/>
            </w:tcBorders>
            <w:noWrap/>
            <w:vAlign w:val="center"/>
            <w:hideMark/>
          </w:tcPr>
          <w:p w14:paraId="3F96BDB3"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Amulet 11.6% vs. Watchman 12.3%, P &gt; 0.05</w:t>
            </w:r>
          </w:p>
        </w:tc>
        <w:tc>
          <w:tcPr>
            <w:tcW w:w="2127" w:type="dxa"/>
            <w:tcBorders>
              <w:top w:val="nil"/>
              <w:left w:val="nil"/>
              <w:bottom w:val="single" w:sz="4" w:space="0" w:color="auto"/>
              <w:right w:val="single" w:sz="4" w:space="0" w:color="auto"/>
            </w:tcBorders>
            <w:noWrap/>
            <w:vAlign w:val="center"/>
            <w:hideMark/>
          </w:tcPr>
          <w:p w14:paraId="14F863F5"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Amulet 3.9% vs. Watchman 5.1%, P &gt; 0.05</w:t>
            </w:r>
          </w:p>
        </w:tc>
      </w:tr>
      <w:tr w:rsidR="00067B73" w:rsidRPr="009B0F6E" w14:paraId="19A14D18" w14:textId="77777777" w:rsidTr="001E0E29">
        <w:trPr>
          <w:trHeight w:val="20"/>
        </w:trPr>
        <w:tc>
          <w:tcPr>
            <w:tcW w:w="1374" w:type="dxa"/>
            <w:tcBorders>
              <w:top w:val="nil"/>
              <w:left w:val="single" w:sz="4" w:space="0" w:color="auto"/>
              <w:bottom w:val="single" w:sz="4" w:space="0" w:color="auto"/>
              <w:right w:val="single" w:sz="4" w:space="0" w:color="auto"/>
            </w:tcBorders>
            <w:shd w:val="clear" w:color="000000" w:fill="8DB4E2"/>
            <w:noWrap/>
            <w:vAlign w:val="center"/>
            <w:hideMark/>
          </w:tcPr>
          <w:p w14:paraId="068CA1A1" w14:textId="772AD80F"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 xml:space="preserve">Kapadia </w:t>
            </w:r>
            <w:r w:rsidR="00A2571F" w:rsidRPr="009B0F6E">
              <w:rPr>
                <w:rFonts w:ascii="Calibri" w:hAnsi="Calibri" w:cs="Calibri"/>
                <w:sz w:val="22"/>
                <w:szCs w:val="22"/>
                <w:lang w:eastAsia="it-IT"/>
              </w:rPr>
              <w:t xml:space="preserve">et al. </w:t>
            </w:r>
            <w:r w:rsidRPr="009B0F6E">
              <w:rPr>
                <w:rFonts w:ascii="Calibri" w:hAnsi="Calibri" w:cs="Calibri"/>
                <w:sz w:val="22"/>
                <w:szCs w:val="22"/>
                <w:lang w:eastAsia="it-IT"/>
              </w:rPr>
              <w:t>(2024)</w:t>
            </w:r>
            <w:r w:rsidRPr="009B0F6E">
              <w:rPr>
                <w:rFonts w:ascii="Calibri" w:hAnsi="Calibri" w:cs="Calibri"/>
                <w:sz w:val="22"/>
                <w:szCs w:val="22"/>
                <w:lang w:eastAsia="it-IT"/>
              </w:rPr>
              <w:fldChar w:fldCharType="begin"/>
            </w:r>
            <w:r w:rsidRPr="009B0F6E">
              <w:rPr>
                <w:rFonts w:ascii="Calibri" w:hAnsi="Calibri" w:cs="Calibri"/>
                <w:sz w:val="22"/>
                <w:szCs w:val="22"/>
                <w:lang w:eastAsia="it-IT"/>
              </w:rPr>
              <w:instrText xml:space="preserve"> ADDIN ZOTERO_ITEM CSL_CITATION {"citationID":"A6Zyztm6","properties":{"formattedCitation":"\\super 23\\nosupersub{}","plainCitation":"23","noteIndex":0},"citationItems":[{"id":1335,"uris":["http://zotero.org/users/16203173/items/D8JRCKME"],"itemData":{"id":1335,"type":"article-journal","abstract":"BACKGROUND: PINNACLE FLX (Protection Against Embolism for Nonvalvular AF Patients: Investigational Device Evaluation of the WATCHMAN FLX LAA Closure Technology) demonstrated improved outcomes and low incidence of adverse events with the WATCHMAN FLX device in a controlled setting. The National Cardiovascular Disease Registry's Left Atrial Appendage Occlusion Registry was utilized to assess the safety and effectiveness of WATCHMAN FLX in contemporary clinical practice in the United States.\nMETHODS: The WATCHMAN FLX Device Surveillance Post Approval Analysis Plan used data from the Left Atrial Appendage Occlusion registry to identify patients undergoing WATCHMAN FLX implantation between August 2020 and September 2022. The key safety end point was defined as all-cause death, ischemic stroke, systemic embolism, or device or procedure-related events requiring open cardiac surgery or major endovascular intervention between device implantation and hospital discharge. Major adverse events were reported at hospital discharge, 45 days, and 1 year.\nRESULTS: Among 97 185 patients in the Left Atrial Appendage Occlusion registry undergoing WATCHMAN FLX, successful implantation occurred in 97.5% (n=94 784) of patients. The key safety end point occurred in 0.45% of patients. At 45 days post-procedure, all-cause death occurred in 0.81% patients, ischemic stroke in 0.23%, major bleeding in 3.1%, pericardial effusion requiring intervention in 0.50%, device-related thrombus in 0.44%, and device embolism in 0.04% patients. No peri-device leak was observed in 83.1% of patients at 45 days. At 1 year, the rate of all-cause death was 8.2%, the rate of any stroke was 1.5% (ischemic stroke, 1.2%), and major bleeding occurred in 6.4% of patients.\nCONCLUSIONS: In a large contemporary cohort of patients with the WATCHMAN FLX device, the rates of implant success and clinical outcomes through 1 year were comparable with the PINNACLE FLX study, demonstrating that favorable outcomes achieved in the pivotal approval study can be replicated in routine clinical practice.","container-title":"Circulation. Cardiovascular Interventions","DOI":"10.1161/CIRCINTERVENTIONS.123.013750","ISSN":"1941-7632","issue":"9","journalAbbreviation":"Circ Cardiovasc Interv","language":"eng","note":"PMID: 39056187","page":"e013750","source":"PubMed","title":"Outcomes With the WATCHMAN FLX in Everyday Clinical Practice From the NCDR Left Atrial Appendage Occlusion Registry","volume":"17","author":[{"family":"Kapadia","given":"Samir R."},{"family":"Yeh","given":"Robert W."},{"family":"Price","given":"Matthew J."},{"family":"Piccini","given":"Jonathan P."},{"family":"Nair","given":"Devi G."},{"family":"Bansal","given":"Agam"},{"family":"Hsu","given":"Jonathan C."},{"family":"Freeman","given":"James V."},{"family":"Christen","given":"Thomas"},{"family":"Allocco","given":"Dominic J."},{"family":"Gibson","given":"Douglas N."}],"issued":{"date-parts":[["2024",9]]}}}],"schema":"https://github.com/citation-style-language/schema/raw/master/csl-citation.json"} </w:instrText>
            </w:r>
            <w:r w:rsidRPr="009B0F6E">
              <w:rPr>
                <w:rFonts w:ascii="Calibri" w:hAnsi="Calibri" w:cs="Calibri"/>
                <w:sz w:val="22"/>
                <w:szCs w:val="22"/>
                <w:lang w:eastAsia="it-IT"/>
              </w:rPr>
              <w:fldChar w:fldCharType="separate"/>
            </w:r>
            <w:r w:rsidRPr="009B0F6E">
              <w:rPr>
                <w:rFonts w:ascii="Calibri" w:hAnsi="Calibri" w:cs="Calibri"/>
                <w:sz w:val="22"/>
                <w:szCs w:val="22"/>
                <w:vertAlign w:val="superscript"/>
              </w:rPr>
              <w:t>2</w:t>
            </w:r>
            <w:r w:rsidR="000543F4" w:rsidRPr="009B0F6E">
              <w:rPr>
                <w:rFonts w:ascii="Calibri" w:hAnsi="Calibri" w:cs="Calibri"/>
                <w:sz w:val="22"/>
                <w:szCs w:val="22"/>
                <w:vertAlign w:val="superscript"/>
              </w:rPr>
              <w:t>2</w:t>
            </w:r>
            <w:r w:rsidRPr="009B0F6E">
              <w:rPr>
                <w:rFonts w:ascii="Calibri" w:hAnsi="Calibri" w:cs="Calibri"/>
                <w:sz w:val="22"/>
                <w:szCs w:val="22"/>
                <w:lang w:eastAsia="it-IT"/>
              </w:rPr>
              <w:fldChar w:fldCharType="end"/>
            </w:r>
          </w:p>
        </w:tc>
        <w:tc>
          <w:tcPr>
            <w:tcW w:w="1456" w:type="dxa"/>
            <w:tcBorders>
              <w:top w:val="nil"/>
              <w:left w:val="nil"/>
              <w:bottom w:val="single" w:sz="4" w:space="0" w:color="auto"/>
              <w:right w:val="single" w:sz="4" w:space="0" w:color="auto"/>
            </w:tcBorders>
            <w:noWrap/>
            <w:vAlign w:val="center"/>
            <w:hideMark/>
          </w:tcPr>
          <w:p w14:paraId="5C213F0E"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 xml:space="preserve">SURPASS </w:t>
            </w:r>
          </w:p>
        </w:tc>
        <w:tc>
          <w:tcPr>
            <w:tcW w:w="1560" w:type="dxa"/>
            <w:tcBorders>
              <w:top w:val="nil"/>
              <w:left w:val="nil"/>
              <w:bottom w:val="single" w:sz="4" w:space="0" w:color="auto"/>
              <w:right w:val="single" w:sz="4" w:space="0" w:color="auto"/>
            </w:tcBorders>
            <w:noWrap/>
            <w:vAlign w:val="center"/>
            <w:hideMark/>
          </w:tcPr>
          <w:p w14:paraId="027CE451"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Watchman FLX</w:t>
            </w:r>
          </w:p>
        </w:tc>
        <w:tc>
          <w:tcPr>
            <w:tcW w:w="992" w:type="dxa"/>
            <w:tcBorders>
              <w:top w:val="nil"/>
              <w:left w:val="nil"/>
              <w:bottom w:val="single" w:sz="4" w:space="0" w:color="auto"/>
              <w:right w:val="single" w:sz="4" w:space="0" w:color="auto"/>
            </w:tcBorders>
            <w:noWrap/>
            <w:vAlign w:val="center"/>
            <w:hideMark/>
          </w:tcPr>
          <w:p w14:paraId="0C4F9DF1"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1 year</w:t>
            </w:r>
          </w:p>
        </w:tc>
        <w:tc>
          <w:tcPr>
            <w:tcW w:w="850" w:type="dxa"/>
            <w:tcBorders>
              <w:top w:val="nil"/>
              <w:left w:val="nil"/>
              <w:bottom w:val="single" w:sz="4" w:space="0" w:color="auto"/>
              <w:right w:val="single" w:sz="4" w:space="0" w:color="auto"/>
            </w:tcBorders>
            <w:vAlign w:val="center"/>
            <w:hideMark/>
          </w:tcPr>
          <w:p w14:paraId="656AE7F7"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97.5%</w:t>
            </w:r>
          </w:p>
        </w:tc>
        <w:tc>
          <w:tcPr>
            <w:tcW w:w="2694" w:type="dxa"/>
            <w:tcBorders>
              <w:top w:val="nil"/>
              <w:left w:val="nil"/>
              <w:bottom w:val="single" w:sz="4" w:space="0" w:color="auto"/>
              <w:right w:val="single" w:sz="4" w:space="0" w:color="auto"/>
            </w:tcBorders>
            <w:vAlign w:val="center"/>
            <w:hideMark/>
          </w:tcPr>
          <w:p w14:paraId="5151CF27" w14:textId="41AFB2B5"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Overall: 1.3%;</w:t>
            </w:r>
          </w:p>
          <w:p w14:paraId="4A84F351"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Procedure-related death: 0.09;</w:t>
            </w:r>
          </w:p>
          <w:p w14:paraId="697756B2"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Procedure-related stroke or systemic thromboembolism: 0.09%;</w:t>
            </w:r>
          </w:p>
          <w:p w14:paraId="2245D690"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Major bleeding: 1.0%;</w:t>
            </w:r>
          </w:p>
          <w:p w14:paraId="6C451B5D"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Major vascular complication: 0.12%;</w:t>
            </w:r>
          </w:p>
          <w:p w14:paraId="3237C2CF"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Myocardial infarction: 0.02%;</w:t>
            </w:r>
          </w:p>
          <w:p w14:paraId="20395B23"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Pericardial tamponade: 0.39%;</w:t>
            </w:r>
          </w:p>
          <w:p w14:paraId="536A22AF"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Device embolism: 0.03%;</w:t>
            </w:r>
          </w:p>
          <w:p w14:paraId="29C16CAA"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Air embolism: 0.03%</w:t>
            </w:r>
          </w:p>
        </w:tc>
        <w:tc>
          <w:tcPr>
            <w:tcW w:w="2409" w:type="dxa"/>
            <w:tcBorders>
              <w:top w:val="nil"/>
              <w:left w:val="nil"/>
              <w:bottom w:val="single" w:sz="4" w:space="0" w:color="auto"/>
              <w:right w:val="single" w:sz="4" w:space="0" w:color="auto"/>
            </w:tcBorders>
            <w:noWrap/>
            <w:vAlign w:val="center"/>
            <w:hideMark/>
          </w:tcPr>
          <w:p w14:paraId="7C728E78"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12.8%</w:t>
            </w:r>
          </w:p>
        </w:tc>
        <w:tc>
          <w:tcPr>
            <w:tcW w:w="1843" w:type="dxa"/>
            <w:tcBorders>
              <w:top w:val="nil"/>
              <w:left w:val="nil"/>
              <w:bottom w:val="single" w:sz="4" w:space="0" w:color="auto"/>
              <w:right w:val="single" w:sz="4" w:space="0" w:color="auto"/>
            </w:tcBorders>
            <w:noWrap/>
            <w:vAlign w:val="center"/>
            <w:hideMark/>
          </w:tcPr>
          <w:p w14:paraId="51D09431"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0.44%</w:t>
            </w:r>
          </w:p>
        </w:tc>
        <w:tc>
          <w:tcPr>
            <w:tcW w:w="992" w:type="dxa"/>
            <w:tcBorders>
              <w:top w:val="nil"/>
              <w:left w:val="nil"/>
              <w:bottom w:val="single" w:sz="4" w:space="0" w:color="auto"/>
              <w:right w:val="single" w:sz="4" w:space="0" w:color="auto"/>
            </w:tcBorders>
            <w:noWrap/>
            <w:vAlign w:val="center"/>
            <w:hideMark/>
          </w:tcPr>
          <w:p w14:paraId="49D20CB8"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0.04%</w:t>
            </w:r>
          </w:p>
        </w:tc>
        <w:tc>
          <w:tcPr>
            <w:tcW w:w="2383" w:type="dxa"/>
            <w:tcBorders>
              <w:top w:val="nil"/>
              <w:left w:val="nil"/>
              <w:bottom w:val="single" w:sz="4" w:space="0" w:color="auto"/>
              <w:right w:val="single" w:sz="4" w:space="0" w:color="auto"/>
            </w:tcBorders>
            <w:vAlign w:val="center"/>
            <w:hideMark/>
          </w:tcPr>
          <w:p w14:paraId="1A3EBE6C"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All stroke: 1.5%;</w:t>
            </w:r>
          </w:p>
          <w:p w14:paraId="741BE4F6"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Ischemic stroke: 1.2%</w:t>
            </w:r>
          </w:p>
        </w:tc>
        <w:tc>
          <w:tcPr>
            <w:tcW w:w="2244" w:type="dxa"/>
            <w:tcBorders>
              <w:top w:val="nil"/>
              <w:left w:val="nil"/>
              <w:bottom w:val="single" w:sz="4" w:space="0" w:color="auto"/>
              <w:right w:val="single" w:sz="4" w:space="0" w:color="auto"/>
            </w:tcBorders>
            <w:noWrap/>
            <w:vAlign w:val="center"/>
            <w:hideMark/>
          </w:tcPr>
          <w:p w14:paraId="6D2BA641"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6.4%</w:t>
            </w:r>
          </w:p>
        </w:tc>
        <w:tc>
          <w:tcPr>
            <w:tcW w:w="2127" w:type="dxa"/>
            <w:tcBorders>
              <w:top w:val="nil"/>
              <w:left w:val="nil"/>
              <w:bottom w:val="single" w:sz="4" w:space="0" w:color="auto"/>
              <w:right w:val="single" w:sz="4" w:space="0" w:color="auto"/>
            </w:tcBorders>
            <w:noWrap/>
            <w:vAlign w:val="center"/>
            <w:hideMark/>
          </w:tcPr>
          <w:p w14:paraId="3E95F33D"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8.2%</w:t>
            </w:r>
          </w:p>
        </w:tc>
      </w:tr>
      <w:tr w:rsidR="00067B73" w:rsidRPr="009B0F6E" w14:paraId="252A4902" w14:textId="77777777" w:rsidTr="001E0E29">
        <w:trPr>
          <w:trHeight w:val="20"/>
        </w:trPr>
        <w:tc>
          <w:tcPr>
            <w:tcW w:w="1374" w:type="dxa"/>
            <w:tcBorders>
              <w:top w:val="nil"/>
              <w:left w:val="single" w:sz="4" w:space="0" w:color="auto"/>
              <w:bottom w:val="single" w:sz="4" w:space="0" w:color="auto"/>
              <w:right w:val="single" w:sz="4" w:space="0" w:color="auto"/>
            </w:tcBorders>
            <w:shd w:val="clear" w:color="000000" w:fill="8DB4E2"/>
            <w:noWrap/>
            <w:vAlign w:val="center"/>
            <w:hideMark/>
          </w:tcPr>
          <w:p w14:paraId="5C1754B4" w14:textId="0C679BF4"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Galea et al. (2025)</w:t>
            </w:r>
            <w:r w:rsidRPr="009B0F6E">
              <w:rPr>
                <w:rFonts w:ascii="Calibri" w:hAnsi="Calibri" w:cs="Calibri"/>
                <w:sz w:val="22"/>
                <w:szCs w:val="22"/>
                <w:lang w:eastAsia="it-IT"/>
              </w:rPr>
              <w:fldChar w:fldCharType="begin"/>
            </w:r>
            <w:r w:rsidRPr="009B0F6E">
              <w:rPr>
                <w:rFonts w:ascii="Calibri" w:hAnsi="Calibri" w:cs="Calibri"/>
                <w:sz w:val="22"/>
                <w:szCs w:val="22"/>
                <w:lang w:eastAsia="it-IT"/>
              </w:rPr>
              <w:instrText xml:space="preserve"> ADDIN ZOTERO_ITEM CSL_CITATION {"citationID":"mBctTNyB","properties":{"formattedCitation":"\\super 33\\nosupersub{}","plainCitation":"33","noteIndex":0},"citationItems":[{"id":1325,"uris":["http://zotero.org/users/16203173/items/JENZIAQR"],"itemData":{"id":1325,"type":"article-journal","abstract":"Background\n\nNo study thus far has compared Amulet with Watchman FLX for clinical outcomes beyond 1 year after percutaneous left atrial appendage closure (LAAC).\nObjectives\n\nThe goal of this study was to compare Amulet and Watchman FLX in terms of 3-year clinical outcomes.\nMethods\n\nIn the investigator-initiated SWISS-APERO (Comparison of Amplatzer Amulet and Watchman Device in Patients Undergoing Left Atrial Appendage Closure) trial, patients with atrial fibrillation and high bleeding risk undergoing LAAC were randomly assigned (1:1) to receive Amulet or Watchman/FLX across 8 centers. Study endpoint included the composite of cardiovascular death, stroke, transient ischemic attack, or systemic embolism at 3 years. Analyses were repeated in the as-treated (AT) and per-protocol (PP) populations.\nResults\n\nOf the 221 patients randomized to treatment, 220 completed LAAC and 3 patients randomized to receive the Amulet device received the Watchman FLX device. The follow-up rate at 3 years was 96.4% in the Amulet group and 97.3% in the Watchman group. The composite ischemic endpoint occurred numerically less frequently in the Amulet group compared with the Watchman group (18.2% vs 31.0%; HR: 0.58; 95% CI: 0.33-1.03; P = 0.06). In both the AT (17.0% vs 31.1%; HR: 0.53; 95% CI: 0.30-0.96; P = 0.035) and PP (16.2% vs 29.2%; HR: 0.54; 95% CI: 0.29-1.00; P = 0.049) populations, the composite ischemic endpoint was significantly lower in the Amulet group compared with the Watchman group.\nConclusions\n\nAt 3 years after LAAC, there was no significant difference in the ischemic risk between the Amulet and the Watchman FLX groups. The lower occurrence of the ischemic composite endpoint observed in the Amulet group in both the AT and PP analyses is hypothesis generating and emphasizes the need for further studies. (Comparison of Amplatzer Amulet and Watchman Device in Patients Undergoing Left Atrial Appendage Closure [SWISS-APERO]; NCT03399851)","container-title":"JACC","DOI":"10.1016/j.jacc.2025.03.535","issue":"1","note":"publisher: American College of Cardiology Foundation","page":"3-14","source":"jacc.org (Atypon)","title":"3-Year Clinical Outcomes Comparing the Amulet vs Watchman FLX for Left Atrial Appendage Closure in Patients With Atrial Fibrillation","volume":"86","author":[{"family":"Galea","given":"Roberto"},{"family":"De Marco","given":"Federico"},{"family":"Aminian","given":"Adel"},{"family":"Meneveau","given":"Nicolas"},{"family":"Chalkou","given":"Konstantina"},{"family":"Anselme","given":"Frederic"},{"family":"Gräni","given":"Christoph"},{"family":"Franzone","given":"Anna"},{"family":"Vranckx","given":"Pascal"},{"family":"Fischer","given":"Urs"},{"family":"Valgimigli","given":"Marco"},{"family":"Räber","given":"Lorenz"}],"issued":{"date-parts":[["2025",7,8]]}}}],"schema":"https://github.com/citation-style-language/schema/raw/master/csl-citation.json"} </w:instrText>
            </w:r>
            <w:r w:rsidRPr="009B0F6E">
              <w:rPr>
                <w:rFonts w:ascii="Calibri" w:hAnsi="Calibri" w:cs="Calibri"/>
                <w:sz w:val="22"/>
                <w:szCs w:val="22"/>
                <w:lang w:eastAsia="it-IT"/>
              </w:rPr>
              <w:fldChar w:fldCharType="separate"/>
            </w:r>
            <w:r w:rsidRPr="009B0F6E">
              <w:rPr>
                <w:rFonts w:ascii="Calibri" w:hAnsi="Calibri" w:cs="Calibri"/>
                <w:sz w:val="22"/>
                <w:szCs w:val="22"/>
                <w:vertAlign w:val="superscript"/>
              </w:rPr>
              <w:t>3</w:t>
            </w:r>
            <w:r w:rsidRPr="009B0F6E">
              <w:rPr>
                <w:rFonts w:ascii="Calibri" w:hAnsi="Calibri" w:cs="Calibri"/>
                <w:sz w:val="22"/>
                <w:szCs w:val="22"/>
                <w:lang w:eastAsia="it-IT"/>
              </w:rPr>
              <w:fldChar w:fldCharType="end"/>
            </w:r>
            <w:r w:rsidR="000543F4" w:rsidRPr="001E0E29">
              <w:rPr>
                <w:rFonts w:ascii="Calibri" w:hAnsi="Calibri" w:cs="Calibri"/>
                <w:sz w:val="22"/>
                <w:szCs w:val="22"/>
                <w:vertAlign w:val="superscript"/>
                <w:lang w:eastAsia="it-IT"/>
              </w:rPr>
              <w:t>3</w:t>
            </w:r>
          </w:p>
        </w:tc>
        <w:tc>
          <w:tcPr>
            <w:tcW w:w="1456" w:type="dxa"/>
            <w:tcBorders>
              <w:top w:val="nil"/>
              <w:left w:val="nil"/>
              <w:bottom w:val="single" w:sz="4" w:space="0" w:color="auto"/>
              <w:right w:val="single" w:sz="4" w:space="0" w:color="auto"/>
            </w:tcBorders>
            <w:noWrap/>
            <w:vAlign w:val="center"/>
            <w:hideMark/>
          </w:tcPr>
          <w:p w14:paraId="06196612" w14:textId="7DD69D14"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SWISS</w:t>
            </w:r>
            <w:r w:rsidRPr="009B0F6E">
              <w:rPr>
                <w:rFonts w:ascii="Calibri" w:hAnsi="Calibri" w:cs="Calibri"/>
                <w:sz w:val="22"/>
                <w:szCs w:val="22"/>
                <w:lang w:eastAsia="it-IT"/>
              </w:rPr>
              <w:noBreakHyphen/>
              <w:t>APERO</w:t>
            </w:r>
          </w:p>
          <w:p w14:paraId="176D6A80"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3-Year Outcomes</w:t>
            </w:r>
          </w:p>
        </w:tc>
        <w:tc>
          <w:tcPr>
            <w:tcW w:w="1560" w:type="dxa"/>
            <w:tcBorders>
              <w:top w:val="nil"/>
              <w:left w:val="nil"/>
              <w:bottom w:val="single" w:sz="4" w:space="0" w:color="auto"/>
              <w:right w:val="single" w:sz="4" w:space="0" w:color="auto"/>
            </w:tcBorders>
            <w:noWrap/>
            <w:vAlign w:val="center"/>
            <w:hideMark/>
          </w:tcPr>
          <w:p w14:paraId="5B9B7F8C"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Amulet vs. Watchman FLX (&gt;80%)/2.5</w:t>
            </w:r>
          </w:p>
        </w:tc>
        <w:tc>
          <w:tcPr>
            <w:tcW w:w="992" w:type="dxa"/>
            <w:tcBorders>
              <w:top w:val="nil"/>
              <w:left w:val="nil"/>
              <w:bottom w:val="single" w:sz="4" w:space="0" w:color="auto"/>
              <w:right w:val="single" w:sz="4" w:space="0" w:color="auto"/>
            </w:tcBorders>
            <w:noWrap/>
            <w:vAlign w:val="center"/>
            <w:hideMark/>
          </w:tcPr>
          <w:p w14:paraId="77790FE6"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3 years</w:t>
            </w:r>
          </w:p>
        </w:tc>
        <w:tc>
          <w:tcPr>
            <w:tcW w:w="850" w:type="dxa"/>
            <w:tcBorders>
              <w:top w:val="nil"/>
              <w:left w:val="nil"/>
              <w:bottom w:val="single" w:sz="4" w:space="0" w:color="auto"/>
              <w:right w:val="single" w:sz="4" w:space="0" w:color="auto"/>
            </w:tcBorders>
            <w:noWrap/>
            <w:vAlign w:val="center"/>
            <w:hideMark/>
          </w:tcPr>
          <w:p w14:paraId="7A63D5EC"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NA</w:t>
            </w:r>
          </w:p>
        </w:tc>
        <w:tc>
          <w:tcPr>
            <w:tcW w:w="2694" w:type="dxa"/>
            <w:tcBorders>
              <w:top w:val="nil"/>
              <w:left w:val="nil"/>
              <w:bottom w:val="single" w:sz="4" w:space="0" w:color="auto"/>
              <w:right w:val="single" w:sz="4" w:space="0" w:color="auto"/>
            </w:tcBorders>
            <w:vAlign w:val="center"/>
            <w:hideMark/>
          </w:tcPr>
          <w:p w14:paraId="6312CA2D"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Amulet 2.7% vs. Watchman 0.9%, P = 0.341</w:t>
            </w:r>
          </w:p>
        </w:tc>
        <w:tc>
          <w:tcPr>
            <w:tcW w:w="2409" w:type="dxa"/>
            <w:tcBorders>
              <w:top w:val="nil"/>
              <w:left w:val="nil"/>
              <w:bottom w:val="single" w:sz="4" w:space="0" w:color="auto"/>
              <w:right w:val="single" w:sz="4" w:space="0" w:color="auto"/>
            </w:tcBorders>
            <w:noWrap/>
            <w:vAlign w:val="center"/>
            <w:hideMark/>
          </w:tcPr>
          <w:p w14:paraId="62E2FB89"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Amulet 19% vs. Watchman 20% at CCTA,</w:t>
            </w:r>
          </w:p>
          <w:p w14:paraId="38D892C8"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13.7% vs 27% at TEE (45 days);</w:t>
            </w:r>
          </w:p>
          <w:p w14:paraId="6783DE97"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color w:val="333333"/>
                <w:sz w:val="22"/>
                <w:szCs w:val="22"/>
                <w:shd w:val="clear" w:color="auto" w:fill="FFFFFF"/>
              </w:rPr>
              <w:t>Amulet 28.6% vs. Watchman 27.5% at CCTA (13 months)</w:t>
            </w:r>
          </w:p>
        </w:tc>
        <w:tc>
          <w:tcPr>
            <w:tcW w:w="1843" w:type="dxa"/>
            <w:tcBorders>
              <w:top w:val="nil"/>
              <w:left w:val="nil"/>
              <w:bottom w:val="single" w:sz="4" w:space="0" w:color="auto"/>
              <w:right w:val="single" w:sz="4" w:space="0" w:color="auto"/>
            </w:tcBorders>
            <w:noWrap/>
            <w:vAlign w:val="center"/>
            <w:hideMark/>
          </w:tcPr>
          <w:p w14:paraId="48FF4230"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Amulet 3.6% vs. Watchman 6.4%</w:t>
            </w:r>
          </w:p>
        </w:tc>
        <w:tc>
          <w:tcPr>
            <w:tcW w:w="992" w:type="dxa"/>
            <w:tcBorders>
              <w:top w:val="nil"/>
              <w:left w:val="nil"/>
              <w:bottom w:val="single" w:sz="4" w:space="0" w:color="auto"/>
              <w:right w:val="single" w:sz="4" w:space="0" w:color="auto"/>
            </w:tcBorders>
            <w:vAlign w:val="center"/>
            <w:hideMark/>
          </w:tcPr>
          <w:p w14:paraId="039B0488"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NA</w:t>
            </w:r>
          </w:p>
        </w:tc>
        <w:tc>
          <w:tcPr>
            <w:tcW w:w="2383" w:type="dxa"/>
            <w:tcBorders>
              <w:top w:val="nil"/>
              <w:left w:val="nil"/>
              <w:bottom w:val="single" w:sz="4" w:space="0" w:color="auto"/>
              <w:right w:val="single" w:sz="4" w:space="0" w:color="auto"/>
            </w:tcBorders>
            <w:vAlign w:val="center"/>
            <w:hideMark/>
          </w:tcPr>
          <w:p w14:paraId="76089F0D" w14:textId="77777777" w:rsidR="00CD364B"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All stroke: Amulet 5% vs. Watchman 9.4 %, P = 0.289;</w:t>
            </w:r>
          </w:p>
          <w:p w14:paraId="6D0987C1" w14:textId="77C5719A"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Ischemic stroke: Amulet 5% vs. Watchman 7.2%, P</w:t>
            </w:r>
            <w:r w:rsidR="004F0C99" w:rsidRPr="009B0F6E">
              <w:rPr>
                <w:rFonts w:ascii="Calibri" w:hAnsi="Calibri" w:cs="Calibri"/>
                <w:sz w:val="22"/>
                <w:szCs w:val="22"/>
                <w:lang w:eastAsia="it-IT"/>
              </w:rPr>
              <w:t xml:space="preserve"> </w:t>
            </w:r>
            <w:r w:rsidRPr="009B0F6E">
              <w:rPr>
                <w:rFonts w:ascii="Calibri" w:hAnsi="Calibri" w:cs="Calibri"/>
                <w:sz w:val="22"/>
                <w:szCs w:val="22"/>
                <w:lang w:eastAsia="it-IT"/>
              </w:rPr>
              <w:t>=</w:t>
            </w:r>
            <w:r w:rsidR="004F0C99" w:rsidRPr="009B0F6E">
              <w:rPr>
                <w:rFonts w:ascii="Calibri" w:hAnsi="Calibri" w:cs="Calibri"/>
                <w:sz w:val="22"/>
                <w:szCs w:val="22"/>
                <w:lang w:eastAsia="it-IT"/>
              </w:rPr>
              <w:t xml:space="preserve"> </w:t>
            </w:r>
            <w:r w:rsidRPr="009B0F6E">
              <w:rPr>
                <w:rFonts w:ascii="Calibri" w:hAnsi="Calibri" w:cs="Calibri"/>
                <w:sz w:val="22"/>
                <w:szCs w:val="22"/>
                <w:lang w:eastAsia="it-IT"/>
              </w:rPr>
              <w:t>0.566;</w:t>
            </w:r>
          </w:p>
          <w:p w14:paraId="21A9F9B7" w14:textId="70DA7210"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Hemorrhagic stroke: Amulet 0% vs. Watchman 0.9%, P</w:t>
            </w:r>
            <w:r w:rsidR="004F0C99" w:rsidRPr="009B0F6E">
              <w:rPr>
                <w:rFonts w:ascii="Calibri" w:hAnsi="Calibri" w:cs="Calibri"/>
                <w:sz w:val="22"/>
                <w:szCs w:val="22"/>
                <w:lang w:eastAsia="it-IT"/>
              </w:rPr>
              <w:t xml:space="preserve"> </w:t>
            </w:r>
            <w:r w:rsidRPr="009B0F6E">
              <w:rPr>
                <w:rFonts w:ascii="Calibri" w:hAnsi="Calibri" w:cs="Calibri"/>
                <w:sz w:val="22"/>
                <w:szCs w:val="22"/>
                <w:lang w:eastAsia="it-IT"/>
              </w:rPr>
              <w:t>=</w:t>
            </w:r>
            <w:r w:rsidR="004F0C99" w:rsidRPr="009B0F6E">
              <w:rPr>
                <w:rFonts w:ascii="Calibri" w:hAnsi="Calibri" w:cs="Calibri"/>
                <w:sz w:val="22"/>
                <w:szCs w:val="22"/>
                <w:lang w:eastAsia="it-IT"/>
              </w:rPr>
              <w:t xml:space="preserve"> </w:t>
            </w:r>
            <w:r w:rsidRPr="009B0F6E">
              <w:rPr>
                <w:rFonts w:ascii="Calibri" w:hAnsi="Calibri" w:cs="Calibri"/>
                <w:sz w:val="22"/>
                <w:szCs w:val="22"/>
                <w:lang w:eastAsia="it-IT"/>
              </w:rPr>
              <w:t>0.498;</w:t>
            </w:r>
          </w:p>
          <w:p w14:paraId="10DDAC0A" w14:textId="2945F1E4"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TIA: Amulet 1.1% vs. Watchman 4.5%, P</w:t>
            </w:r>
            <w:r w:rsidR="004F0C99" w:rsidRPr="009B0F6E">
              <w:rPr>
                <w:rFonts w:ascii="Calibri" w:hAnsi="Calibri" w:cs="Calibri"/>
                <w:sz w:val="22"/>
                <w:szCs w:val="22"/>
                <w:lang w:eastAsia="it-IT"/>
              </w:rPr>
              <w:t xml:space="preserve"> </w:t>
            </w:r>
            <w:r w:rsidRPr="009B0F6E">
              <w:rPr>
                <w:rFonts w:ascii="Calibri" w:hAnsi="Calibri" w:cs="Calibri"/>
                <w:sz w:val="22"/>
                <w:szCs w:val="22"/>
                <w:lang w:eastAsia="it-IT"/>
              </w:rPr>
              <w:t>=</w:t>
            </w:r>
            <w:r w:rsidR="004F0C99" w:rsidRPr="009B0F6E">
              <w:rPr>
                <w:rFonts w:ascii="Calibri" w:hAnsi="Calibri" w:cs="Calibri"/>
                <w:sz w:val="22"/>
                <w:szCs w:val="22"/>
                <w:lang w:eastAsia="it-IT"/>
              </w:rPr>
              <w:t xml:space="preserve"> </w:t>
            </w:r>
            <w:r w:rsidRPr="009B0F6E">
              <w:rPr>
                <w:rFonts w:ascii="Calibri" w:hAnsi="Calibri" w:cs="Calibri"/>
                <w:sz w:val="22"/>
                <w:szCs w:val="22"/>
                <w:lang w:eastAsia="it-IT"/>
              </w:rPr>
              <w:t>0.215;</w:t>
            </w:r>
          </w:p>
          <w:p w14:paraId="231DA4D8" w14:textId="4C6B642B"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Systemic embolism: Amulet 0% vs. Watchman 2.2%, P</w:t>
            </w:r>
            <w:r w:rsidR="004F0C99" w:rsidRPr="009B0F6E">
              <w:rPr>
                <w:rFonts w:ascii="Calibri" w:hAnsi="Calibri" w:cs="Calibri"/>
                <w:sz w:val="22"/>
                <w:szCs w:val="22"/>
                <w:lang w:eastAsia="it-IT"/>
              </w:rPr>
              <w:t xml:space="preserve"> </w:t>
            </w:r>
            <w:r w:rsidRPr="009B0F6E">
              <w:rPr>
                <w:rFonts w:ascii="Calibri" w:hAnsi="Calibri" w:cs="Calibri"/>
                <w:sz w:val="22"/>
                <w:szCs w:val="22"/>
                <w:lang w:eastAsia="it-IT"/>
              </w:rPr>
              <w:t>=</w:t>
            </w:r>
            <w:r w:rsidR="004F0C99" w:rsidRPr="009B0F6E">
              <w:rPr>
                <w:rFonts w:ascii="Calibri" w:hAnsi="Calibri" w:cs="Calibri"/>
                <w:sz w:val="22"/>
                <w:szCs w:val="22"/>
                <w:lang w:eastAsia="it-IT"/>
              </w:rPr>
              <w:t xml:space="preserve"> </w:t>
            </w:r>
            <w:r w:rsidRPr="009B0F6E">
              <w:rPr>
                <w:rFonts w:ascii="Calibri" w:hAnsi="Calibri" w:cs="Calibri"/>
                <w:sz w:val="22"/>
                <w:szCs w:val="22"/>
                <w:lang w:eastAsia="it-IT"/>
              </w:rPr>
              <w:t>0.247</w:t>
            </w:r>
          </w:p>
        </w:tc>
        <w:tc>
          <w:tcPr>
            <w:tcW w:w="2244" w:type="dxa"/>
            <w:tcBorders>
              <w:top w:val="nil"/>
              <w:left w:val="nil"/>
              <w:bottom w:val="single" w:sz="4" w:space="0" w:color="auto"/>
              <w:right w:val="single" w:sz="4" w:space="0" w:color="auto"/>
            </w:tcBorders>
            <w:vAlign w:val="center"/>
            <w:hideMark/>
          </w:tcPr>
          <w:p w14:paraId="4349C890"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Any bleeding: Amulet 45.1% vs. Watchman 43.2%, P = 0.414;</w:t>
            </w:r>
          </w:p>
          <w:p w14:paraId="00A00AD7"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Minor bleeding: Amulet 37.4% vs. Watchman 29.7%, P = 0.225;</w:t>
            </w:r>
          </w:p>
          <w:p w14:paraId="16CC9B5F"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Major bleeding: Amulet 16.5% vs. Watchman 18%, P = 0.938</w:t>
            </w:r>
          </w:p>
        </w:tc>
        <w:tc>
          <w:tcPr>
            <w:tcW w:w="2127" w:type="dxa"/>
            <w:tcBorders>
              <w:top w:val="nil"/>
              <w:left w:val="nil"/>
              <w:bottom w:val="single" w:sz="4" w:space="0" w:color="auto"/>
              <w:right w:val="single" w:sz="4" w:space="0" w:color="auto"/>
            </w:tcBorders>
            <w:vAlign w:val="center"/>
            <w:hideMark/>
          </w:tcPr>
          <w:p w14:paraId="42714702"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All-cause: Amulet 27% vs. Watchman 31%, P = 0.544;</w:t>
            </w:r>
          </w:p>
          <w:p w14:paraId="0EBDDF40" w14:textId="4EEEA0CF"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CV: Amulet 13.5% vs. Watchman 23.4%, P</w:t>
            </w:r>
            <w:r w:rsidR="004F0C99" w:rsidRPr="009B0F6E">
              <w:rPr>
                <w:rFonts w:ascii="Calibri" w:hAnsi="Calibri" w:cs="Calibri"/>
                <w:sz w:val="22"/>
                <w:szCs w:val="22"/>
                <w:lang w:eastAsia="it-IT"/>
              </w:rPr>
              <w:t xml:space="preserve"> </w:t>
            </w:r>
            <w:r w:rsidRPr="009B0F6E">
              <w:rPr>
                <w:rFonts w:ascii="Calibri" w:hAnsi="Calibri" w:cs="Calibri"/>
                <w:sz w:val="22"/>
                <w:szCs w:val="22"/>
                <w:lang w:eastAsia="it-IT"/>
              </w:rPr>
              <w:t>= 0.101</w:t>
            </w:r>
          </w:p>
        </w:tc>
      </w:tr>
      <w:tr w:rsidR="00067B73" w:rsidRPr="009B0F6E" w14:paraId="628A4A92" w14:textId="77777777" w:rsidTr="001E0E29">
        <w:trPr>
          <w:trHeight w:val="20"/>
        </w:trPr>
        <w:tc>
          <w:tcPr>
            <w:tcW w:w="1374" w:type="dxa"/>
            <w:tcBorders>
              <w:top w:val="nil"/>
              <w:left w:val="single" w:sz="4" w:space="0" w:color="auto"/>
              <w:bottom w:val="single" w:sz="4" w:space="0" w:color="auto"/>
              <w:right w:val="single" w:sz="4" w:space="0" w:color="auto"/>
            </w:tcBorders>
            <w:shd w:val="clear" w:color="000000" w:fill="8DB4E2"/>
            <w:noWrap/>
            <w:vAlign w:val="center"/>
            <w:hideMark/>
          </w:tcPr>
          <w:p w14:paraId="623F9263" w14:textId="2D55065F"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Wazni et al. (2025)</w:t>
            </w:r>
            <w:r w:rsidRPr="009B0F6E">
              <w:rPr>
                <w:rFonts w:ascii="Calibri" w:hAnsi="Calibri" w:cs="Calibri"/>
                <w:sz w:val="22"/>
                <w:szCs w:val="22"/>
                <w:lang w:eastAsia="it-IT"/>
              </w:rPr>
              <w:fldChar w:fldCharType="begin"/>
            </w:r>
            <w:r w:rsidRPr="009B0F6E">
              <w:rPr>
                <w:rFonts w:ascii="Calibri" w:hAnsi="Calibri" w:cs="Calibri"/>
                <w:sz w:val="22"/>
                <w:szCs w:val="22"/>
                <w:lang w:eastAsia="it-IT"/>
              </w:rPr>
              <w:instrText xml:space="preserve"> ADDIN ZOTERO_ITEM CSL_CITATION {"citationID":"edbtEeiR","properties":{"formattedCitation":"\\super 54\\nosupersub{}","plainCitation":"54","noteIndex":0},"citationItems":[{"id":1154,"uris":["http://zotero.org/users/16203173/items/KMC2GHR8"],"itemData":{"id":1154,"type":"article-journal","abstract":"After atrial fibrillation ablation, left atrial appendage closure was associated with a lower risk of bleeding than oral anticoagulation and was noninferior to oral anticoagulation with respect to clinical outcomes at 36 months.","container-title":"New England Journal of Medicine","DOI":"10.1056/NEJMoa2408308","ISSN":"0028-4793","issue":"13","note":"publisher: Massachusetts Medical Society\n_eprint: https://www.nejm.org/doi/pdf/10.1056/NEJMoa2408308","page":"1277-1287","source":"Taylor and Francis+NEJM","title":"Left Atrial Appendage Closure after Ablation for Atrial Fibrillation","volume":"392","author":[{"family":"Wazni","given":"Oussama M."},{"family":"Saliba","given":"Walid I."},{"family":"Nair","given":"Devi G."},{"family":"Marijon","given":"Eloi"},{"family":"Schmidt","given":"Boris"},{"family":"Hounshell","given":"Troy"},{"family":"Ebelt","given":"Henning"},{"family":"Skurk","given":"Carsten"},{"family":"Oza","given":"Saumil"},{"family":"Patel","given":"Chinmay"},{"family":"Kanagasundram","given":"Arvindh"},{"family":"Sadhu","given":"Ashish"},{"family":"Sundaram","given":"Sri"},{"family":"Osorio","given":"Jose"},{"family":"Mark","given":"George"},{"family":"Gupta","given":"Madhukar"},{"family":"DeLurgio","given":"David B."},{"family":"Olson","given":"Jeffrey"},{"family":"Nielsen-Kudsk","given":"Jens Erik"},{"family":"Boersma","given":"Lucas V. A."},{"family":"Healey","given":"Jeff S."},{"family":"Phillips","given":"Karen P."},{"family":"Asch","given":"Federico M."},{"family":"Wolski","given":"Katherine"},{"family":"Roy","given":"Kristine"},{"family":"Christen","given":"Thomas"},{"family":"Sutton","given":"Brad S."},{"family":"Stein","given":"Kenneth M."},{"family":"Reddy","given":"Vivek Y."}],"issued":{"date-parts":[["2025",4,2]]}}}],"schema":"https://github.com/citation-style-language/schema/raw/master/csl-citation.json"} </w:instrText>
            </w:r>
            <w:r w:rsidRPr="009B0F6E">
              <w:rPr>
                <w:rFonts w:ascii="Calibri" w:hAnsi="Calibri" w:cs="Calibri"/>
                <w:sz w:val="22"/>
                <w:szCs w:val="22"/>
                <w:lang w:eastAsia="it-IT"/>
              </w:rPr>
              <w:fldChar w:fldCharType="separate"/>
            </w:r>
            <w:r w:rsidRPr="009B0F6E">
              <w:rPr>
                <w:rFonts w:ascii="Calibri" w:hAnsi="Calibri" w:cs="Calibri"/>
                <w:sz w:val="22"/>
                <w:szCs w:val="22"/>
                <w:vertAlign w:val="superscript"/>
              </w:rPr>
              <w:t>5</w:t>
            </w:r>
            <w:r w:rsidR="000543F4" w:rsidRPr="009B0F6E">
              <w:rPr>
                <w:rFonts w:ascii="Calibri" w:hAnsi="Calibri" w:cs="Calibri"/>
                <w:sz w:val="22"/>
                <w:szCs w:val="22"/>
                <w:vertAlign w:val="superscript"/>
              </w:rPr>
              <w:t>2</w:t>
            </w:r>
            <w:r w:rsidRPr="009B0F6E">
              <w:rPr>
                <w:rFonts w:ascii="Calibri" w:hAnsi="Calibri" w:cs="Calibri"/>
                <w:sz w:val="22"/>
                <w:szCs w:val="22"/>
                <w:lang w:eastAsia="it-IT"/>
              </w:rPr>
              <w:fldChar w:fldCharType="end"/>
            </w:r>
          </w:p>
        </w:tc>
        <w:tc>
          <w:tcPr>
            <w:tcW w:w="1456" w:type="dxa"/>
            <w:tcBorders>
              <w:top w:val="nil"/>
              <w:left w:val="nil"/>
              <w:bottom w:val="single" w:sz="4" w:space="0" w:color="auto"/>
              <w:right w:val="single" w:sz="4" w:space="0" w:color="auto"/>
            </w:tcBorders>
            <w:noWrap/>
            <w:vAlign w:val="center"/>
            <w:hideMark/>
          </w:tcPr>
          <w:p w14:paraId="3BDFD6CD"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OPTION</w:t>
            </w:r>
          </w:p>
        </w:tc>
        <w:tc>
          <w:tcPr>
            <w:tcW w:w="1560" w:type="dxa"/>
            <w:tcBorders>
              <w:top w:val="nil"/>
              <w:left w:val="nil"/>
              <w:bottom w:val="single" w:sz="4" w:space="0" w:color="auto"/>
              <w:right w:val="single" w:sz="4" w:space="0" w:color="auto"/>
            </w:tcBorders>
            <w:noWrap/>
            <w:vAlign w:val="center"/>
            <w:hideMark/>
          </w:tcPr>
          <w:p w14:paraId="15405376"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Watchman FLX</w:t>
            </w:r>
          </w:p>
        </w:tc>
        <w:tc>
          <w:tcPr>
            <w:tcW w:w="992" w:type="dxa"/>
            <w:tcBorders>
              <w:top w:val="nil"/>
              <w:left w:val="nil"/>
              <w:bottom w:val="single" w:sz="4" w:space="0" w:color="auto"/>
              <w:right w:val="single" w:sz="4" w:space="0" w:color="auto"/>
            </w:tcBorders>
            <w:noWrap/>
            <w:vAlign w:val="center"/>
            <w:hideMark/>
          </w:tcPr>
          <w:p w14:paraId="5FCE994D"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36 months</w:t>
            </w:r>
          </w:p>
        </w:tc>
        <w:tc>
          <w:tcPr>
            <w:tcW w:w="850" w:type="dxa"/>
            <w:tcBorders>
              <w:top w:val="nil"/>
              <w:left w:val="nil"/>
              <w:bottom w:val="single" w:sz="4" w:space="0" w:color="auto"/>
              <w:right w:val="single" w:sz="4" w:space="0" w:color="auto"/>
            </w:tcBorders>
            <w:noWrap/>
            <w:vAlign w:val="center"/>
            <w:hideMark/>
          </w:tcPr>
          <w:p w14:paraId="13DC0B19"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98.8%</w:t>
            </w:r>
          </w:p>
        </w:tc>
        <w:tc>
          <w:tcPr>
            <w:tcW w:w="2694" w:type="dxa"/>
            <w:tcBorders>
              <w:top w:val="nil"/>
              <w:left w:val="nil"/>
              <w:bottom w:val="single" w:sz="4" w:space="0" w:color="auto"/>
              <w:right w:val="single" w:sz="4" w:space="0" w:color="auto"/>
            </w:tcBorders>
            <w:vAlign w:val="center"/>
            <w:hideMark/>
          </w:tcPr>
          <w:p w14:paraId="7BA275AD"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Overall: 2.8%</w:t>
            </w:r>
          </w:p>
        </w:tc>
        <w:tc>
          <w:tcPr>
            <w:tcW w:w="2409" w:type="dxa"/>
            <w:tcBorders>
              <w:top w:val="nil"/>
              <w:left w:val="nil"/>
              <w:bottom w:val="single" w:sz="4" w:space="0" w:color="auto"/>
              <w:right w:val="single" w:sz="4" w:space="0" w:color="auto"/>
            </w:tcBorders>
            <w:vAlign w:val="center"/>
            <w:hideMark/>
          </w:tcPr>
          <w:p w14:paraId="22896583"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20.3%</w:t>
            </w:r>
          </w:p>
        </w:tc>
        <w:tc>
          <w:tcPr>
            <w:tcW w:w="1843" w:type="dxa"/>
            <w:tcBorders>
              <w:top w:val="nil"/>
              <w:left w:val="nil"/>
              <w:bottom w:val="single" w:sz="4" w:space="0" w:color="auto"/>
              <w:right w:val="single" w:sz="4" w:space="0" w:color="auto"/>
            </w:tcBorders>
            <w:noWrap/>
            <w:vAlign w:val="center"/>
            <w:hideMark/>
          </w:tcPr>
          <w:p w14:paraId="0C080937"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1.9%</w:t>
            </w:r>
          </w:p>
        </w:tc>
        <w:tc>
          <w:tcPr>
            <w:tcW w:w="992" w:type="dxa"/>
            <w:tcBorders>
              <w:top w:val="nil"/>
              <w:left w:val="nil"/>
              <w:bottom w:val="single" w:sz="4" w:space="0" w:color="auto"/>
              <w:right w:val="single" w:sz="4" w:space="0" w:color="auto"/>
            </w:tcBorders>
            <w:noWrap/>
            <w:vAlign w:val="center"/>
            <w:hideMark/>
          </w:tcPr>
          <w:p w14:paraId="2B56466B"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NA</w:t>
            </w:r>
          </w:p>
        </w:tc>
        <w:tc>
          <w:tcPr>
            <w:tcW w:w="2383" w:type="dxa"/>
            <w:tcBorders>
              <w:top w:val="nil"/>
              <w:left w:val="nil"/>
              <w:bottom w:val="single" w:sz="4" w:space="0" w:color="auto"/>
              <w:right w:val="single" w:sz="4" w:space="0" w:color="auto"/>
            </w:tcBorders>
            <w:vAlign w:val="center"/>
            <w:hideMark/>
          </w:tcPr>
          <w:p w14:paraId="3C64312C" w14:textId="77777777" w:rsidR="00CD364B"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Ischemic stroke: LAAC 1.2% vs. control 1.3%</w:t>
            </w:r>
          </w:p>
          <w:p w14:paraId="27D83CA2" w14:textId="6ABF4950"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Hemorrhagic stroke: 0.4% in each group;</w:t>
            </w:r>
          </w:p>
          <w:p w14:paraId="2D9ACA73"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Systemic embolism: LAAC 0.3% vs. control 0.1%</w:t>
            </w:r>
          </w:p>
        </w:tc>
        <w:tc>
          <w:tcPr>
            <w:tcW w:w="2244" w:type="dxa"/>
            <w:tcBorders>
              <w:top w:val="nil"/>
              <w:left w:val="nil"/>
              <w:bottom w:val="single" w:sz="4" w:space="0" w:color="auto"/>
              <w:right w:val="single" w:sz="4" w:space="0" w:color="auto"/>
            </w:tcBorders>
            <w:vAlign w:val="center"/>
            <w:hideMark/>
          </w:tcPr>
          <w:p w14:paraId="26556F14"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Major bleeding: LAAC 3.9% vs. control 5.0%;</w:t>
            </w:r>
          </w:p>
          <w:p w14:paraId="369308D0"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Major bleeding, non-procedure-related: LAAC 8.5% vs. control 18.1%, P &lt; 0.001</w:t>
            </w:r>
          </w:p>
        </w:tc>
        <w:tc>
          <w:tcPr>
            <w:tcW w:w="2127" w:type="dxa"/>
            <w:tcBorders>
              <w:top w:val="nil"/>
              <w:left w:val="nil"/>
              <w:bottom w:val="single" w:sz="4" w:space="0" w:color="auto"/>
              <w:right w:val="single" w:sz="4" w:space="0" w:color="auto"/>
            </w:tcBorders>
            <w:vAlign w:val="center"/>
            <w:hideMark/>
          </w:tcPr>
          <w:p w14:paraId="41C5F665"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All-cause: LAAC 3.8% vs. control 4.5%</w:t>
            </w:r>
          </w:p>
        </w:tc>
      </w:tr>
    </w:tbl>
    <w:p w14:paraId="6E5BA09F" w14:textId="77777777" w:rsidR="00230F4F" w:rsidRPr="009B0F6E" w:rsidRDefault="00230F4F" w:rsidP="003A7AD9">
      <w:pPr>
        <w:widowControl w:val="0"/>
        <w:rPr>
          <w:rFonts w:ascii="Calibri" w:hAnsi="Calibri" w:cs="Calibri"/>
          <w:sz w:val="22"/>
          <w:szCs w:val="22"/>
          <w:lang w:eastAsia="it-IT"/>
        </w:rPr>
      </w:pPr>
    </w:p>
    <w:p w14:paraId="449EC853" w14:textId="31E238F6" w:rsidR="00230F4F" w:rsidRPr="001E0E29" w:rsidRDefault="00230F4F" w:rsidP="003A7AD9">
      <w:pPr>
        <w:widowControl w:val="0"/>
        <w:jc w:val="both"/>
        <w:rPr>
          <w:rFonts w:ascii="Calibri" w:hAnsi="Calibri" w:cs="Calibri"/>
          <w:bCs/>
          <w:sz w:val="22"/>
          <w:szCs w:val="22"/>
          <w:lang w:eastAsia="it-IT"/>
        </w:rPr>
      </w:pPr>
      <w:r w:rsidRPr="009B0F6E">
        <w:rPr>
          <w:rFonts w:ascii="Calibri" w:hAnsi="Calibri" w:cs="Calibri"/>
          <w:b/>
          <w:bCs/>
          <w:sz w:val="22"/>
          <w:szCs w:val="22"/>
          <w:lang w:eastAsia="it-IT"/>
        </w:rPr>
        <w:t>Table 3.</w:t>
      </w:r>
      <w:r w:rsidRPr="001E0E29">
        <w:rPr>
          <w:rFonts w:ascii="Calibri" w:hAnsi="Calibri" w:cs="Calibri"/>
          <w:bCs/>
          <w:sz w:val="22"/>
          <w:szCs w:val="22"/>
          <w:lang w:eastAsia="it-IT"/>
        </w:rPr>
        <w:t xml:space="preserve"> Comparative RCT Evidence in LAAC: Antithrombotic Therapy and Clinical Outcomes</w:t>
      </w:r>
    </w:p>
    <w:tbl>
      <w:tblPr>
        <w:tblW w:w="0" w:type="auto"/>
        <w:tblCellMar>
          <w:left w:w="70" w:type="dxa"/>
          <w:right w:w="70" w:type="dxa"/>
        </w:tblCellMar>
        <w:tblLook w:val="04A0" w:firstRow="1" w:lastRow="0" w:firstColumn="1" w:lastColumn="0" w:noHBand="0" w:noVBand="1"/>
      </w:tblPr>
      <w:tblGrid>
        <w:gridCol w:w="2371"/>
        <w:gridCol w:w="1376"/>
        <w:gridCol w:w="3495"/>
        <w:gridCol w:w="1684"/>
        <w:gridCol w:w="3215"/>
        <w:gridCol w:w="4687"/>
        <w:gridCol w:w="4096"/>
      </w:tblGrid>
      <w:tr w:rsidR="00230F4F" w:rsidRPr="009B0F6E" w14:paraId="168681E7" w14:textId="77777777" w:rsidTr="001E0E29">
        <w:trPr>
          <w:trHeight w:val="320"/>
        </w:trPr>
        <w:tc>
          <w:tcPr>
            <w:tcW w:w="0" w:type="auto"/>
            <w:tcBorders>
              <w:top w:val="single" w:sz="4" w:space="0" w:color="auto"/>
              <w:left w:val="single" w:sz="4" w:space="0" w:color="auto"/>
              <w:bottom w:val="single" w:sz="4" w:space="0" w:color="auto"/>
              <w:right w:val="single" w:sz="4" w:space="0" w:color="auto"/>
            </w:tcBorders>
            <w:shd w:val="clear" w:color="000000" w:fill="538DD5"/>
            <w:noWrap/>
            <w:vAlign w:val="center"/>
            <w:hideMark/>
          </w:tcPr>
          <w:p w14:paraId="1A77EF4C" w14:textId="77777777" w:rsidR="00230F4F" w:rsidRPr="009B0F6E" w:rsidRDefault="00230F4F"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Author</w:t>
            </w:r>
          </w:p>
        </w:tc>
        <w:tc>
          <w:tcPr>
            <w:tcW w:w="0" w:type="auto"/>
            <w:tcBorders>
              <w:top w:val="single" w:sz="4" w:space="0" w:color="auto"/>
              <w:left w:val="nil"/>
              <w:bottom w:val="single" w:sz="4" w:space="0" w:color="auto"/>
              <w:right w:val="single" w:sz="4" w:space="0" w:color="auto"/>
            </w:tcBorders>
            <w:shd w:val="clear" w:color="000000" w:fill="538DD5"/>
            <w:noWrap/>
            <w:vAlign w:val="center"/>
            <w:hideMark/>
          </w:tcPr>
          <w:p w14:paraId="0623F39B" w14:textId="77777777" w:rsidR="00230F4F" w:rsidRPr="009B0F6E" w:rsidRDefault="00230F4F"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Study</w:t>
            </w:r>
          </w:p>
        </w:tc>
        <w:tc>
          <w:tcPr>
            <w:tcW w:w="0" w:type="auto"/>
            <w:tcBorders>
              <w:top w:val="single" w:sz="4" w:space="0" w:color="auto"/>
              <w:left w:val="nil"/>
              <w:bottom w:val="single" w:sz="4" w:space="0" w:color="auto"/>
              <w:right w:val="single" w:sz="4" w:space="0" w:color="auto"/>
            </w:tcBorders>
            <w:shd w:val="clear" w:color="000000" w:fill="538DD5"/>
            <w:noWrap/>
            <w:vAlign w:val="center"/>
            <w:hideMark/>
          </w:tcPr>
          <w:p w14:paraId="2C452F3E" w14:textId="77777777" w:rsidR="00230F4F" w:rsidRPr="009B0F6E" w:rsidRDefault="00230F4F"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Device</w:t>
            </w:r>
          </w:p>
        </w:tc>
        <w:tc>
          <w:tcPr>
            <w:tcW w:w="0" w:type="auto"/>
            <w:tcBorders>
              <w:top w:val="single" w:sz="4" w:space="0" w:color="auto"/>
              <w:left w:val="nil"/>
              <w:bottom w:val="single" w:sz="4" w:space="0" w:color="auto"/>
              <w:right w:val="single" w:sz="4" w:space="0" w:color="auto"/>
            </w:tcBorders>
            <w:shd w:val="clear" w:color="000000" w:fill="538DD5"/>
            <w:noWrap/>
            <w:vAlign w:val="center"/>
            <w:hideMark/>
          </w:tcPr>
          <w:p w14:paraId="75321E42" w14:textId="77777777" w:rsidR="00230F4F" w:rsidRPr="009B0F6E" w:rsidRDefault="00230F4F"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Population</w:t>
            </w:r>
          </w:p>
        </w:tc>
        <w:tc>
          <w:tcPr>
            <w:tcW w:w="0" w:type="auto"/>
            <w:tcBorders>
              <w:top w:val="single" w:sz="4" w:space="0" w:color="auto"/>
              <w:left w:val="nil"/>
              <w:bottom w:val="single" w:sz="4" w:space="0" w:color="auto"/>
              <w:right w:val="single" w:sz="4" w:space="0" w:color="auto"/>
            </w:tcBorders>
            <w:shd w:val="clear" w:color="000000" w:fill="538DD5"/>
            <w:noWrap/>
            <w:vAlign w:val="center"/>
            <w:hideMark/>
          </w:tcPr>
          <w:p w14:paraId="1EBFC7C9" w14:textId="77777777" w:rsidR="00230F4F" w:rsidRPr="009B0F6E" w:rsidRDefault="00230F4F"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Anti-thrombotic therapy</w:t>
            </w:r>
          </w:p>
        </w:tc>
        <w:tc>
          <w:tcPr>
            <w:tcW w:w="0" w:type="auto"/>
            <w:tcBorders>
              <w:top w:val="single" w:sz="4" w:space="0" w:color="auto"/>
              <w:left w:val="nil"/>
              <w:bottom w:val="single" w:sz="4" w:space="0" w:color="auto"/>
              <w:right w:val="single" w:sz="4" w:space="0" w:color="auto"/>
            </w:tcBorders>
            <w:shd w:val="clear" w:color="000000" w:fill="548CD5"/>
            <w:noWrap/>
            <w:vAlign w:val="center"/>
            <w:hideMark/>
          </w:tcPr>
          <w:p w14:paraId="3E601C99" w14:textId="77777777" w:rsidR="00230F4F" w:rsidRPr="009B0F6E" w:rsidRDefault="00230F4F"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Primary efficacy endpoint</w:t>
            </w:r>
          </w:p>
        </w:tc>
        <w:tc>
          <w:tcPr>
            <w:tcW w:w="0" w:type="auto"/>
            <w:tcBorders>
              <w:top w:val="single" w:sz="4" w:space="0" w:color="auto"/>
              <w:left w:val="nil"/>
              <w:bottom w:val="single" w:sz="4" w:space="0" w:color="auto"/>
              <w:right w:val="single" w:sz="4" w:space="0" w:color="auto"/>
            </w:tcBorders>
            <w:shd w:val="clear" w:color="000000" w:fill="548CD5"/>
            <w:noWrap/>
            <w:vAlign w:val="center"/>
            <w:hideMark/>
          </w:tcPr>
          <w:p w14:paraId="0835E45D" w14:textId="77777777" w:rsidR="00230F4F" w:rsidRPr="009B0F6E" w:rsidRDefault="00230F4F" w:rsidP="003A7AD9">
            <w:pPr>
              <w:widowControl w:val="0"/>
              <w:rPr>
                <w:rFonts w:ascii="Calibri" w:hAnsi="Calibri" w:cs="Calibri"/>
                <w:b/>
                <w:bCs/>
                <w:sz w:val="22"/>
                <w:szCs w:val="22"/>
                <w:lang w:eastAsia="it-IT"/>
              </w:rPr>
            </w:pPr>
            <w:r w:rsidRPr="009B0F6E">
              <w:rPr>
                <w:rFonts w:ascii="Calibri" w:hAnsi="Calibri" w:cs="Calibri"/>
                <w:b/>
                <w:bCs/>
                <w:sz w:val="22"/>
                <w:szCs w:val="22"/>
                <w:lang w:eastAsia="it-IT"/>
              </w:rPr>
              <w:t>Safety endpoint/adverse events</w:t>
            </w:r>
          </w:p>
        </w:tc>
      </w:tr>
      <w:tr w:rsidR="00230F4F" w:rsidRPr="009B0F6E" w14:paraId="30422D31" w14:textId="77777777" w:rsidTr="001E0E29">
        <w:trPr>
          <w:trHeight w:val="1360"/>
        </w:trPr>
        <w:tc>
          <w:tcPr>
            <w:tcW w:w="0" w:type="auto"/>
            <w:tcBorders>
              <w:top w:val="nil"/>
              <w:left w:val="single" w:sz="4" w:space="0" w:color="auto"/>
              <w:bottom w:val="single" w:sz="4" w:space="0" w:color="auto"/>
              <w:right w:val="single" w:sz="4" w:space="0" w:color="auto"/>
            </w:tcBorders>
            <w:shd w:val="clear" w:color="000000" w:fill="8DB4E2"/>
            <w:noWrap/>
            <w:vAlign w:val="center"/>
            <w:hideMark/>
          </w:tcPr>
          <w:p w14:paraId="413244A6" w14:textId="4EB01606" w:rsidR="00230F4F" w:rsidRPr="009B0F6E" w:rsidRDefault="00230F4F" w:rsidP="003A7AD9">
            <w:pPr>
              <w:widowControl w:val="0"/>
              <w:rPr>
                <w:rFonts w:ascii="Calibri" w:hAnsi="Calibri" w:cs="Calibri"/>
                <w:sz w:val="22"/>
                <w:szCs w:val="22"/>
                <w:vertAlign w:val="superscript"/>
                <w:lang w:eastAsia="it-IT"/>
              </w:rPr>
            </w:pPr>
            <w:r w:rsidRPr="009B0F6E">
              <w:rPr>
                <w:rFonts w:ascii="Calibri" w:hAnsi="Calibri" w:cs="Calibri"/>
                <w:sz w:val="22"/>
                <w:szCs w:val="22"/>
                <w:lang w:eastAsia="it-IT"/>
              </w:rPr>
              <w:t>Holmes et al. (2009)</w:t>
            </w:r>
            <w:r w:rsidRPr="009B0F6E">
              <w:rPr>
                <w:rFonts w:ascii="Calibri" w:hAnsi="Calibri" w:cs="Calibri"/>
                <w:sz w:val="22"/>
                <w:szCs w:val="22"/>
                <w:vertAlign w:val="superscript"/>
                <w:lang w:eastAsia="it-IT"/>
              </w:rPr>
              <w:t>1</w:t>
            </w:r>
            <w:r w:rsidR="000543F4" w:rsidRPr="009B0F6E">
              <w:rPr>
                <w:rFonts w:ascii="Calibri" w:hAnsi="Calibri" w:cs="Calibri"/>
                <w:sz w:val="22"/>
                <w:szCs w:val="22"/>
                <w:vertAlign w:val="superscript"/>
                <w:lang w:eastAsia="it-IT"/>
              </w:rPr>
              <w:t>4</w:t>
            </w:r>
          </w:p>
        </w:tc>
        <w:tc>
          <w:tcPr>
            <w:tcW w:w="0" w:type="auto"/>
            <w:tcBorders>
              <w:top w:val="nil"/>
              <w:left w:val="nil"/>
              <w:bottom w:val="single" w:sz="4" w:space="0" w:color="auto"/>
              <w:right w:val="single" w:sz="4" w:space="0" w:color="auto"/>
            </w:tcBorders>
            <w:noWrap/>
            <w:vAlign w:val="center"/>
            <w:hideMark/>
          </w:tcPr>
          <w:p w14:paraId="408063F4"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PROTECT AF</w:t>
            </w:r>
          </w:p>
        </w:tc>
        <w:tc>
          <w:tcPr>
            <w:tcW w:w="0" w:type="auto"/>
            <w:tcBorders>
              <w:top w:val="nil"/>
              <w:left w:val="nil"/>
              <w:bottom w:val="single" w:sz="4" w:space="0" w:color="auto"/>
              <w:right w:val="single" w:sz="4" w:space="0" w:color="auto"/>
            </w:tcBorders>
            <w:noWrap/>
            <w:vAlign w:val="center"/>
            <w:hideMark/>
          </w:tcPr>
          <w:p w14:paraId="188764B4"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Watchman 2.5 vs. warfarin</w:t>
            </w:r>
          </w:p>
        </w:tc>
        <w:tc>
          <w:tcPr>
            <w:tcW w:w="0" w:type="auto"/>
            <w:tcBorders>
              <w:top w:val="nil"/>
              <w:left w:val="nil"/>
              <w:bottom w:val="single" w:sz="4" w:space="0" w:color="auto"/>
              <w:right w:val="single" w:sz="4" w:space="0" w:color="auto"/>
            </w:tcBorders>
            <w:vAlign w:val="center"/>
            <w:hideMark/>
          </w:tcPr>
          <w:p w14:paraId="1D2F17CC"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Age, 71.7 ± 8.8 vs. 72.7 ± 9.2</w:t>
            </w:r>
          </w:p>
          <w:p w14:paraId="32B0AEBF"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CHADS2 2.2</w:t>
            </w:r>
          </w:p>
          <w:p w14:paraId="3F2CB3B9"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HAS-BLED NA</w:t>
            </w:r>
          </w:p>
        </w:tc>
        <w:tc>
          <w:tcPr>
            <w:tcW w:w="0" w:type="auto"/>
            <w:tcBorders>
              <w:top w:val="nil"/>
              <w:left w:val="nil"/>
              <w:bottom w:val="single" w:sz="4" w:space="0" w:color="auto"/>
              <w:right w:val="single" w:sz="4" w:space="0" w:color="auto"/>
            </w:tcBorders>
            <w:vAlign w:val="center"/>
            <w:hideMark/>
          </w:tcPr>
          <w:p w14:paraId="30F78DFC"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Warfarin + aspirin (81–325 mg) to 45 days, aspirin + clopidogrel 75 mg to 6 months, aspirin indefinitely</w:t>
            </w:r>
          </w:p>
        </w:tc>
        <w:tc>
          <w:tcPr>
            <w:tcW w:w="0" w:type="auto"/>
            <w:tcBorders>
              <w:top w:val="nil"/>
              <w:left w:val="nil"/>
              <w:bottom w:val="single" w:sz="4" w:space="0" w:color="auto"/>
              <w:right w:val="single" w:sz="4" w:space="0" w:color="auto"/>
            </w:tcBorders>
            <w:vAlign w:val="center"/>
            <w:hideMark/>
          </w:tcPr>
          <w:p w14:paraId="240EC4DB"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Composite of stroke, systemic embolism, and CV/unexplained death: LAAC 3.0 per 100 patient-years vs control 4.9 per 100 patient-years (risk ratio 0.62, 95% CI: 0.35 to 1.25).</w:t>
            </w:r>
          </w:p>
        </w:tc>
        <w:tc>
          <w:tcPr>
            <w:tcW w:w="0" w:type="auto"/>
            <w:tcBorders>
              <w:top w:val="nil"/>
              <w:left w:val="nil"/>
              <w:bottom w:val="single" w:sz="4" w:space="0" w:color="auto"/>
              <w:right w:val="single" w:sz="4" w:space="0" w:color="auto"/>
            </w:tcBorders>
            <w:vAlign w:val="center"/>
            <w:hideMark/>
          </w:tcPr>
          <w:p w14:paraId="65A2C3E6"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LAAC 7.4 per 100 patient-years, vs. control 4.4 per 100 patient-years</w:t>
            </w:r>
          </w:p>
        </w:tc>
      </w:tr>
      <w:tr w:rsidR="00230F4F" w:rsidRPr="009B0F6E" w14:paraId="637F1333" w14:textId="77777777" w:rsidTr="001E0E29">
        <w:trPr>
          <w:trHeight w:val="2380"/>
        </w:trPr>
        <w:tc>
          <w:tcPr>
            <w:tcW w:w="0" w:type="auto"/>
            <w:tcBorders>
              <w:top w:val="nil"/>
              <w:left w:val="single" w:sz="4" w:space="0" w:color="auto"/>
              <w:bottom w:val="single" w:sz="4" w:space="0" w:color="auto"/>
              <w:right w:val="single" w:sz="4" w:space="0" w:color="auto"/>
            </w:tcBorders>
            <w:shd w:val="clear" w:color="000000" w:fill="8DB4E2"/>
            <w:noWrap/>
            <w:vAlign w:val="center"/>
            <w:hideMark/>
          </w:tcPr>
          <w:p w14:paraId="75CC7415" w14:textId="5449CA28" w:rsidR="00230F4F" w:rsidRPr="009B0F6E" w:rsidRDefault="00230F4F" w:rsidP="003A7AD9">
            <w:pPr>
              <w:widowControl w:val="0"/>
              <w:rPr>
                <w:rFonts w:ascii="Calibri" w:hAnsi="Calibri" w:cs="Calibri"/>
                <w:sz w:val="22"/>
                <w:szCs w:val="22"/>
                <w:vertAlign w:val="superscript"/>
                <w:lang w:eastAsia="it-IT"/>
              </w:rPr>
            </w:pPr>
            <w:r w:rsidRPr="009B0F6E">
              <w:rPr>
                <w:rFonts w:ascii="Calibri" w:hAnsi="Calibri" w:cs="Calibri"/>
                <w:sz w:val="22"/>
                <w:szCs w:val="22"/>
                <w:lang w:eastAsia="it-IT"/>
              </w:rPr>
              <w:t>Holmes et al. (2014)</w:t>
            </w:r>
            <w:r w:rsidRPr="009B0F6E">
              <w:rPr>
                <w:rFonts w:ascii="Calibri" w:hAnsi="Calibri" w:cs="Calibri"/>
                <w:sz w:val="22"/>
                <w:szCs w:val="22"/>
                <w:vertAlign w:val="superscript"/>
                <w:lang w:eastAsia="it-IT"/>
              </w:rPr>
              <w:t>1</w:t>
            </w:r>
            <w:r w:rsidR="000543F4" w:rsidRPr="009B0F6E">
              <w:rPr>
                <w:rFonts w:ascii="Calibri" w:hAnsi="Calibri" w:cs="Calibri"/>
                <w:sz w:val="22"/>
                <w:szCs w:val="22"/>
                <w:vertAlign w:val="superscript"/>
                <w:lang w:eastAsia="it-IT"/>
              </w:rPr>
              <w:t>6</w:t>
            </w:r>
          </w:p>
        </w:tc>
        <w:tc>
          <w:tcPr>
            <w:tcW w:w="0" w:type="auto"/>
            <w:tcBorders>
              <w:top w:val="nil"/>
              <w:left w:val="nil"/>
              <w:bottom w:val="single" w:sz="4" w:space="0" w:color="auto"/>
              <w:right w:val="single" w:sz="4" w:space="0" w:color="auto"/>
            </w:tcBorders>
            <w:noWrap/>
            <w:vAlign w:val="center"/>
            <w:hideMark/>
          </w:tcPr>
          <w:p w14:paraId="3F8E4E2D"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PREVAIL</w:t>
            </w:r>
          </w:p>
        </w:tc>
        <w:tc>
          <w:tcPr>
            <w:tcW w:w="0" w:type="auto"/>
            <w:tcBorders>
              <w:top w:val="nil"/>
              <w:left w:val="nil"/>
              <w:bottom w:val="single" w:sz="4" w:space="0" w:color="auto"/>
              <w:right w:val="single" w:sz="4" w:space="0" w:color="auto"/>
            </w:tcBorders>
            <w:noWrap/>
            <w:vAlign w:val="center"/>
            <w:hideMark/>
          </w:tcPr>
          <w:p w14:paraId="5159FAA0"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Watchman 2.5 vs. warfarin</w:t>
            </w:r>
          </w:p>
        </w:tc>
        <w:tc>
          <w:tcPr>
            <w:tcW w:w="0" w:type="auto"/>
            <w:tcBorders>
              <w:top w:val="nil"/>
              <w:left w:val="nil"/>
              <w:bottom w:val="single" w:sz="4" w:space="0" w:color="auto"/>
              <w:right w:val="single" w:sz="4" w:space="0" w:color="auto"/>
            </w:tcBorders>
            <w:vAlign w:val="center"/>
            <w:hideMark/>
          </w:tcPr>
          <w:p w14:paraId="03F0A3A5"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Age, 74.0 ± 7.4 vs. 74.9 ± 7.2</w:t>
            </w:r>
          </w:p>
          <w:p w14:paraId="41C2AA69"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CHADS2 2.6</w:t>
            </w:r>
          </w:p>
          <w:p w14:paraId="64106432"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HAS-BLED NA</w:t>
            </w:r>
          </w:p>
        </w:tc>
        <w:tc>
          <w:tcPr>
            <w:tcW w:w="0" w:type="auto"/>
            <w:tcBorders>
              <w:top w:val="nil"/>
              <w:left w:val="nil"/>
              <w:bottom w:val="single" w:sz="4" w:space="0" w:color="auto"/>
              <w:right w:val="single" w:sz="4" w:space="0" w:color="auto"/>
            </w:tcBorders>
            <w:vAlign w:val="center"/>
            <w:hideMark/>
          </w:tcPr>
          <w:p w14:paraId="63E0BB23"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Warfarin + aspirin (81 mg) to 45 days, aspirin + clopidogrel 75 mg to 6 months, aspirin indefinitely</w:t>
            </w:r>
          </w:p>
        </w:tc>
        <w:tc>
          <w:tcPr>
            <w:tcW w:w="0" w:type="auto"/>
            <w:tcBorders>
              <w:top w:val="nil"/>
              <w:left w:val="nil"/>
              <w:bottom w:val="single" w:sz="4" w:space="0" w:color="auto"/>
              <w:right w:val="single" w:sz="4" w:space="0" w:color="auto"/>
            </w:tcBorders>
            <w:vAlign w:val="center"/>
            <w:hideMark/>
          </w:tcPr>
          <w:p w14:paraId="3F7819E9" w14:textId="2DDD428A"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Composite of stroke, systemic embolism, and CV/unexplained death: LAAC 0.064 vs. control 0.063 (risk ratio 1.07, 95% CI: 0.57 to1.89);</w:t>
            </w:r>
          </w:p>
          <w:p w14:paraId="7D86E492" w14:textId="1C4E7217" w:rsidR="00230F4F" w:rsidRPr="009B0F6E" w:rsidRDefault="00230F4F" w:rsidP="00C44DE5">
            <w:pPr>
              <w:widowControl w:val="0"/>
              <w:rPr>
                <w:rFonts w:ascii="Calibri" w:hAnsi="Calibri" w:cs="Calibri"/>
                <w:sz w:val="22"/>
                <w:szCs w:val="22"/>
                <w:lang w:eastAsia="it-IT"/>
              </w:rPr>
            </w:pPr>
            <w:r w:rsidRPr="009B0F6E">
              <w:rPr>
                <w:rFonts w:ascii="Calibri" w:hAnsi="Calibri" w:cs="Calibri"/>
                <w:sz w:val="22"/>
                <w:szCs w:val="22"/>
                <w:lang w:eastAsia="it-IT"/>
              </w:rPr>
              <w:t xml:space="preserve">Stroke or systemic embolism &gt;7 days post-randomization: LAAC 0.025 vs. control 0.020 (risk difference 0.005, 95% CI: </w:t>
            </w:r>
            <w:r w:rsidR="00F16D26" w:rsidRPr="009B0F6E">
              <w:rPr>
                <w:rFonts w:ascii="Calibri" w:hAnsi="Calibri" w:cs="Calibri"/>
                <w:sz w:val="22"/>
                <w:szCs w:val="22"/>
                <w:lang w:eastAsia="it-IT"/>
              </w:rPr>
              <w:t>−</w:t>
            </w:r>
            <w:r w:rsidRPr="009B0F6E">
              <w:rPr>
                <w:rFonts w:ascii="Calibri" w:hAnsi="Calibri" w:cs="Calibri"/>
                <w:sz w:val="22"/>
                <w:szCs w:val="22"/>
                <w:lang w:eastAsia="it-IT"/>
              </w:rPr>
              <w:t>0.019 to 0.027)</w:t>
            </w:r>
          </w:p>
        </w:tc>
        <w:tc>
          <w:tcPr>
            <w:tcW w:w="0" w:type="auto"/>
            <w:tcBorders>
              <w:top w:val="nil"/>
              <w:left w:val="nil"/>
              <w:bottom w:val="single" w:sz="4" w:space="0" w:color="auto"/>
              <w:right w:val="single" w:sz="4" w:space="0" w:color="auto"/>
            </w:tcBorders>
            <w:vAlign w:val="center"/>
            <w:hideMark/>
          </w:tcPr>
          <w:p w14:paraId="3AFBA894"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 xml:space="preserve">4.2% </w:t>
            </w:r>
          </w:p>
        </w:tc>
      </w:tr>
      <w:tr w:rsidR="00230F4F" w:rsidRPr="009B0F6E" w14:paraId="597BBC4F" w14:textId="77777777" w:rsidTr="001E0E29">
        <w:trPr>
          <w:trHeight w:val="2040"/>
        </w:trPr>
        <w:tc>
          <w:tcPr>
            <w:tcW w:w="0" w:type="auto"/>
            <w:tcBorders>
              <w:top w:val="nil"/>
              <w:left w:val="single" w:sz="4" w:space="0" w:color="auto"/>
              <w:bottom w:val="single" w:sz="4" w:space="0" w:color="auto"/>
              <w:right w:val="single" w:sz="4" w:space="0" w:color="auto"/>
            </w:tcBorders>
            <w:shd w:val="clear" w:color="000000" w:fill="8DB4E2"/>
            <w:noWrap/>
            <w:vAlign w:val="center"/>
            <w:hideMark/>
          </w:tcPr>
          <w:p w14:paraId="1D1078C6" w14:textId="08E4BD90" w:rsidR="00230F4F" w:rsidRPr="009B0F6E" w:rsidRDefault="00230F4F" w:rsidP="003A7AD9">
            <w:pPr>
              <w:widowControl w:val="0"/>
              <w:rPr>
                <w:rFonts w:ascii="Calibri" w:hAnsi="Calibri" w:cs="Calibri"/>
                <w:sz w:val="22"/>
                <w:szCs w:val="22"/>
                <w:vertAlign w:val="superscript"/>
                <w:lang w:eastAsia="it-IT"/>
              </w:rPr>
            </w:pPr>
            <w:r w:rsidRPr="009B0F6E">
              <w:rPr>
                <w:rFonts w:ascii="Calibri" w:hAnsi="Calibri" w:cs="Calibri"/>
                <w:sz w:val="22"/>
                <w:szCs w:val="22"/>
                <w:lang w:eastAsia="it-IT"/>
              </w:rPr>
              <w:t>Osmancik et al. (2020)</w:t>
            </w:r>
            <w:r w:rsidRPr="009B0F6E">
              <w:rPr>
                <w:rFonts w:ascii="Calibri" w:hAnsi="Calibri" w:cs="Calibri"/>
                <w:sz w:val="22"/>
                <w:szCs w:val="22"/>
                <w:vertAlign w:val="superscript"/>
                <w:lang w:eastAsia="it-IT"/>
              </w:rPr>
              <w:t>5</w:t>
            </w:r>
            <w:r w:rsidR="000543F4" w:rsidRPr="009B0F6E">
              <w:rPr>
                <w:rFonts w:ascii="Calibri" w:hAnsi="Calibri" w:cs="Calibri"/>
                <w:sz w:val="22"/>
                <w:szCs w:val="22"/>
                <w:vertAlign w:val="superscript"/>
                <w:lang w:eastAsia="it-IT"/>
              </w:rPr>
              <w:t>0</w:t>
            </w:r>
          </w:p>
        </w:tc>
        <w:tc>
          <w:tcPr>
            <w:tcW w:w="0" w:type="auto"/>
            <w:tcBorders>
              <w:top w:val="nil"/>
              <w:left w:val="nil"/>
              <w:bottom w:val="single" w:sz="4" w:space="0" w:color="auto"/>
              <w:right w:val="single" w:sz="4" w:space="0" w:color="auto"/>
            </w:tcBorders>
            <w:vAlign w:val="center"/>
            <w:hideMark/>
          </w:tcPr>
          <w:p w14:paraId="1BF61754"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PRAGUE</w:t>
            </w:r>
            <w:r w:rsidRPr="009B0F6E">
              <w:rPr>
                <w:rFonts w:ascii="Calibri" w:hAnsi="Calibri" w:cs="Calibri"/>
                <w:sz w:val="22"/>
                <w:szCs w:val="22"/>
                <w:lang w:eastAsia="it-IT"/>
              </w:rPr>
              <w:noBreakHyphen/>
              <w:t>17</w:t>
            </w:r>
          </w:p>
        </w:tc>
        <w:tc>
          <w:tcPr>
            <w:tcW w:w="0" w:type="auto"/>
            <w:tcBorders>
              <w:top w:val="nil"/>
              <w:left w:val="nil"/>
              <w:bottom w:val="single" w:sz="4" w:space="0" w:color="auto"/>
              <w:right w:val="single" w:sz="4" w:space="0" w:color="auto"/>
            </w:tcBorders>
            <w:noWrap/>
            <w:vAlign w:val="center"/>
            <w:hideMark/>
          </w:tcPr>
          <w:p w14:paraId="4AE9AB5C"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Watchman 2.5/FLX/ Amulet vs. DOAC</w:t>
            </w:r>
          </w:p>
        </w:tc>
        <w:tc>
          <w:tcPr>
            <w:tcW w:w="0" w:type="auto"/>
            <w:tcBorders>
              <w:top w:val="nil"/>
              <w:left w:val="nil"/>
              <w:bottom w:val="single" w:sz="4" w:space="0" w:color="auto"/>
              <w:right w:val="single" w:sz="4" w:space="0" w:color="auto"/>
            </w:tcBorders>
            <w:vAlign w:val="center"/>
            <w:hideMark/>
          </w:tcPr>
          <w:p w14:paraId="015FCAF5"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Age, 73.2 ± 7.2 vs. 73.4 ± 6.7</w:t>
            </w:r>
          </w:p>
          <w:p w14:paraId="52F9C702"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CHA2DS2-VASc 4.7 ± 1.5</w:t>
            </w:r>
          </w:p>
          <w:p w14:paraId="535485CC"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HAS-BLED 3.0 ± 0.9</w:t>
            </w:r>
          </w:p>
        </w:tc>
        <w:tc>
          <w:tcPr>
            <w:tcW w:w="0" w:type="auto"/>
            <w:tcBorders>
              <w:top w:val="nil"/>
              <w:left w:val="nil"/>
              <w:bottom w:val="single" w:sz="4" w:space="0" w:color="auto"/>
              <w:right w:val="single" w:sz="4" w:space="0" w:color="auto"/>
            </w:tcBorders>
            <w:vAlign w:val="center"/>
            <w:hideMark/>
          </w:tcPr>
          <w:p w14:paraId="6C9DC1E4"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LAAC: aspirin 100 mg + clopidogrel 75 mg to 3 months, aspirin indefinitely</w:t>
            </w:r>
          </w:p>
          <w:p w14:paraId="7B243F69"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NOAC: 95.5% apixaban</w:t>
            </w:r>
          </w:p>
        </w:tc>
        <w:tc>
          <w:tcPr>
            <w:tcW w:w="0" w:type="auto"/>
            <w:tcBorders>
              <w:top w:val="nil"/>
              <w:left w:val="nil"/>
              <w:bottom w:val="single" w:sz="4" w:space="0" w:color="auto"/>
              <w:right w:val="single" w:sz="4" w:space="0" w:color="auto"/>
            </w:tcBorders>
            <w:vAlign w:val="center"/>
            <w:hideMark/>
          </w:tcPr>
          <w:p w14:paraId="38A19B74"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Composite of stroke, TIA, systemic embolism, CV death, major or non-major clinically relevant bleeding, and procedure-/device-related complications: LAAC 10.99% vs. DOAC 13.42% (hazard ratio 0.84; 95% CI: 0.53 to1.31; P = 0.44)</w:t>
            </w:r>
          </w:p>
        </w:tc>
        <w:tc>
          <w:tcPr>
            <w:tcW w:w="0" w:type="auto"/>
            <w:tcBorders>
              <w:top w:val="nil"/>
              <w:left w:val="nil"/>
              <w:bottom w:val="single" w:sz="4" w:space="0" w:color="auto"/>
              <w:right w:val="single" w:sz="4" w:space="0" w:color="auto"/>
            </w:tcBorders>
            <w:vAlign w:val="center"/>
            <w:hideMark/>
          </w:tcPr>
          <w:p w14:paraId="2AD571CE"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4.5%</w:t>
            </w:r>
          </w:p>
        </w:tc>
      </w:tr>
      <w:tr w:rsidR="00230F4F" w:rsidRPr="009B0F6E" w14:paraId="55AD91C6" w14:textId="77777777" w:rsidTr="001E0E29">
        <w:trPr>
          <w:trHeight w:val="2720"/>
        </w:trPr>
        <w:tc>
          <w:tcPr>
            <w:tcW w:w="0" w:type="auto"/>
            <w:tcBorders>
              <w:top w:val="nil"/>
              <w:left w:val="single" w:sz="4" w:space="0" w:color="auto"/>
              <w:bottom w:val="single" w:sz="4" w:space="0" w:color="auto"/>
              <w:right w:val="single" w:sz="4" w:space="0" w:color="auto"/>
            </w:tcBorders>
            <w:shd w:val="clear" w:color="000000" w:fill="8DB4E2"/>
            <w:noWrap/>
            <w:vAlign w:val="center"/>
            <w:hideMark/>
          </w:tcPr>
          <w:p w14:paraId="7AF3FFAF" w14:textId="4A48E27A" w:rsidR="00230F4F" w:rsidRPr="009B0F6E" w:rsidRDefault="00230F4F" w:rsidP="003A7AD9">
            <w:pPr>
              <w:widowControl w:val="0"/>
              <w:rPr>
                <w:rFonts w:ascii="Calibri" w:hAnsi="Calibri" w:cs="Calibri"/>
                <w:sz w:val="22"/>
                <w:szCs w:val="22"/>
                <w:vertAlign w:val="superscript"/>
                <w:lang w:eastAsia="it-IT"/>
              </w:rPr>
            </w:pPr>
            <w:r w:rsidRPr="009B0F6E">
              <w:rPr>
                <w:rFonts w:ascii="Calibri" w:hAnsi="Calibri" w:cs="Calibri"/>
                <w:sz w:val="22"/>
                <w:szCs w:val="22"/>
                <w:lang w:eastAsia="it-IT"/>
              </w:rPr>
              <w:t>Lakkireddy et al. (2021)</w:t>
            </w:r>
            <w:r w:rsidRPr="009B0F6E">
              <w:rPr>
                <w:rFonts w:ascii="Calibri" w:hAnsi="Calibri" w:cs="Calibri"/>
                <w:sz w:val="22"/>
                <w:szCs w:val="22"/>
                <w:vertAlign w:val="superscript"/>
                <w:lang w:eastAsia="it-IT"/>
              </w:rPr>
              <w:t>2</w:t>
            </w:r>
            <w:r w:rsidR="000543F4" w:rsidRPr="009B0F6E">
              <w:rPr>
                <w:rFonts w:ascii="Calibri" w:hAnsi="Calibri" w:cs="Calibri"/>
                <w:sz w:val="22"/>
                <w:szCs w:val="22"/>
                <w:vertAlign w:val="superscript"/>
                <w:lang w:eastAsia="it-IT"/>
              </w:rPr>
              <w:t>7</w:t>
            </w:r>
          </w:p>
        </w:tc>
        <w:tc>
          <w:tcPr>
            <w:tcW w:w="0" w:type="auto"/>
            <w:tcBorders>
              <w:top w:val="nil"/>
              <w:left w:val="nil"/>
              <w:bottom w:val="single" w:sz="4" w:space="0" w:color="auto"/>
              <w:right w:val="single" w:sz="4" w:space="0" w:color="auto"/>
            </w:tcBorders>
            <w:noWrap/>
            <w:vAlign w:val="center"/>
            <w:hideMark/>
          </w:tcPr>
          <w:p w14:paraId="7DA4C65F"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Amulet IDE</w:t>
            </w:r>
          </w:p>
        </w:tc>
        <w:tc>
          <w:tcPr>
            <w:tcW w:w="0" w:type="auto"/>
            <w:tcBorders>
              <w:top w:val="nil"/>
              <w:left w:val="nil"/>
              <w:bottom w:val="single" w:sz="4" w:space="0" w:color="auto"/>
              <w:right w:val="single" w:sz="4" w:space="0" w:color="auto"/>
            </w:tcBorders>
            <w:noWrap/>
            <w:vAlign w:val="center"/>
            <w:hideMark/>
          </w:tcPr>
          <w:p w14:paraId="355B16A2"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Amulet vs. Watchman 2.5</w:t>
            </w:r>
          </w:p>
        </w:tc>
        <w:tc>
          <w:tcPr>
            <w:tcW w:w="0" w:type="auto"/>
            <w:tcBorders>
              <w:top w:val="nil"/>
              <w:left w:val="nil"/>
              <w:bottom w:val="single" w:sz="4" w:space="0" w:color="auto"/>
              <w:right w:val="single" w:sz="4" w:space="0" w:color="auto"/>
            </w:tcBorders>
            <w:vAlign w:val="center"/>
            <w:hideMark/>
          </w:tcPr>
          <w:p w14:paraId="028022E4"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Age, 75.0 ± 7.6 vs. 75.1 ± 7.6</w:t>
            </w:r>
          </w:p>
          <w:p w14:paraId="08C736BC" w14:textId="6A9C3C81"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CHA2DS2-VASc 4.5</w:t>
            </w:r>
            <w:r w:rsidR="000A5F4C" w:rsidRPr="009B0F6E">
              <w:rPr>
                <w:rFonts w:ascii="Calibri" w:hAnsi="Calibri" w:cs="Calibri"/>
                <w:sz w:val="22"/>
                <w:szCs w:val="22"/>
                <w:lang w:eastAsia="it-IT"/>
              </w:rPr>
              <w:t xml:space="preserve"> </w:t>
            </w:r>
            <w:r w:rsidRPr="009B0F6E">
              <w:rPr>
                <w:rFonts w:ascii="Calibri" w:hAnsi="Calibri" w:cs="Calibri"/>
                <w:sz w:val="22"/>
                <w:szCs w:val="22"/>
                <w:lang w:eastAsia="it-IT"/>
              </w:rPr>
              <w:t>±</w:t>
            </w:r>
            <w:r w:rsidR="000A5F4C" w:rsidRPr="009B0F6E">
              <w:rPr>
                <w:rFonts w:ascii="Calibri" w:hAnsi="Calibri" w:cs="Calibri"/>
                <w:sz w:val="22"/>
                <w:szCs w:val="22"/>
                <w:lang w:eastAsia="it-IT"/>
              </w:rPr>
              <w:t xml:space="preserve"> </w:t>
            </w:r>
            <w:r w:rsidRPr="009B0F6E">
              <w:rPr>
                <w:rFonts w:ascii="Calibri" w:hAnsi="Calibri" w:cs="Calibri"/>
                <w:sz w:val="22"/>
                <w:szCs w:val="22"/>
                <w:lang w:eastAsia="it-IT"/>
              </w:rPr>
              <w:t>1.3 vs. 4.7</w:t>
            </w:r>
            <w:r w:rsidR="000A5F4C" w:rsidRPr="009B0F6E">
              <w:rPr>
                <w:rFonts w:ascii="Calibri" w:hAnsi="Calibri" w:cs="Calibri"/>
                <w:sz w:val="22"/>
                <w:szCs w:val="22"/>
                <w:lang w:eastAsia="it-IT"/>
              </w:rPr>
              <w:t xml:space="preserve"> </w:t>
            </w:r>
            <w:r w:rsidRPr="009B0F6E">
              <w:rPr>
                <w:rFonts w:ascii="Calibri" w:hAnsi="Calibri" w:cs="Calibri"/>
                <w:sz w:val="22"/>
                <w:szCs w:val="22"/>
                <w:lang w:eastAsia="it-IT"/>
              </w:rPr>
              <w:t>±</w:t>
            </w:r>
            <w:r w:rsidR="000A5F4C" w:rsidRPr="009B0F6E">
              <w:rPr>
                <w:rFonts w:ascii="Calibri" w:hAnsi="Calibri" w:cs="Calibri"/>
                <w:sz w:val="22"/>
                <w:szCs w:val="22"/>
                <w:lang w:eastAsia="it-IT"/>
              </w:rPr>
              <w:t xml:space="preserve"> </w:t>
            </w:r>
            <w:r w:rsidRPr="009B0F6E">
              <w:rPr>
                <w:rFonts w:ascii="Calibri" w:hAnsi="Calibri" w:cs="Calibri"/>
                <w:sz w:val="22"/>
                <w:szCs w:val="22"/>
                <w:lang w:eastAsia="it-IT"/>
              </w:rPr>
              <w:t>1.4</w:t>
            </w:r>
          </w:p>
          <w:p w14:paraId="5D8B7CB9" w14:textId="0AF18BB3"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HAS-BLED 3.2</w:t>
            </w:r>
            <w:r w:rsidR="000A5F4C" w:rsidRPr="009B0F6E">
              <w:rPr>
                <w:rFonts w:ascii="Calibri" w:hAnsi="Calibri" w:cs="Calibri"/>
                <w:sz w:val="22"/>
                <w:szCs w:val="22"/>
                <w:lang w:eastAsia="it-IT"/>
              </w:rPr>
              <w:t xml:space="preserve"> </w:t>
            </w:r>
            <w:r w:rsidRPr="009B0F6E">
              <w:rPr>
                <w:rFonts w:ascii="Calibri" w:hAnsi="Calibri" w:cs="Calibri"/>
                <w:sz w:val="22"/>
                <w:szCs w:val="22"/>
                <w:lang w:eastAsia="it-IT"/>
              </w:rPr>
              <w:t>±</w:t>
            </w:r>
            <w:r w:rsidR="000A5F4C" w:rsidRPr="009B0F6E">
              <w:rPr>
                <w:rFonts w:ascii="Calibri" w:hAnsi="Calibri" w:cs="Calibri"/>
                <w:sz w:val="22"/>
                <w:szCs w:val="22"/>
                <w:lang w:eastAsia="it-IT"/>
              </w:rPr>
              <w:t xml:space="preserve"> </w:t>
            </w:r>
            <w:r w:rsidRPr="009B0F6E">
              <w:rPr>
                <w:rFonts w:ascii="Calibri" w:hAnsi="Calibri" w:cs="Calibri"/>
                <w:sz w:val="22"/>
                <w:szCs w:val="22"/>
                <w:lang w:eastAsia="it-IT"/>
              </w:rPr>
              <w:t>1.0 vs. 3.3</w:t>
            </w:r>
            <w:r w:rsidR="000A5F4C" w:rsidRPr="009B0F6E">
              <w:rPr>
                <w:rFonts w:ascii="Calibri" w:hAnsi="Calibri" w:cs="Calibri"/>
                <w:sz w:val="22"/>
                <w:szCs w:val="22"/>
                <w:lang w:eastAsia="it-IT"/>
              </w:rPr>
              <w:t xml:space="preserve"> </w:t>
            </w:r>
            <w:r w:rsidRPr="009B0F6E">
              <w:rPr>
                <w:rFonts w:ascii="Calibri" w:hAnsi="Calibri" w:cs="Calibri"/>
                <w:sz w:val="22"/>
                <w:szCs w:val="22"/>
                <w:lang w:eastAsia="it-IT"/>
              </w:rPr>
              <w:t>±</w:t>
            </w:r>
            <w:r w:rsidR="000A5F4C" w:rsidRPr="009B0F6E">
              <w:rPr>
                <w:rFonts w:ascii="Calibri" w:hAnsi="Calibri" w:cs="Calibri"/>
                <w:sz w:val="22"/>
                <w:szCs w:val="22"/>
                <w:lang w:eastAsia="it-IT"/>
              </w:rPr>
              <w:t xml:space="preserve"> </w:t>
            </w:r>
            <w:r w:rsidRPr="009B0F6E">
              <w:rPr>
                <w:rFonts w:ascii="Calibri" w:hAnsi="Calibri" w:cs="Calibri"/>
                <w:sz w:val="22"/>
                <w:szCs w:val="22"/>
                <w:lang w:eastAsia="it-IT"/>
              </w:rPr>
              <w:t>1.0</w:t>
            </w:r>
          </w:p>
        </w:tc>
        <w:tc>
          <w:tcPr>
            <w:tcW w:w="0" w:type="auto"/>
            <w:tcBorders>
              <w:top w:val="nil"/>
              <w:left w:val="nil"/>
              <w:bottom w:val="single" w:sz="4" w:space="0" w:color="auto"/>
              <w:right w:val="single" w:sz="4" w:space="0" w:color="auto"/>
            </w:tcBorders>
            <w:vAlign w:val="center"/>
            <w:hideMark/>
          </w:tcPr>
          <w:p w14:paraId="4B3CBF68"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Amulet: DAPT or NOAC + aspirin to 6 months, aspirin indefinitely;</w:t>
            </w:r>
          </w:p>
          <w:p w14:paraId="7487CD26"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Watchman: warfarin + aspirin to 45 days, DAPT to 6 months, aspirin indefinitely</w:t>
            </w:r>
          </w:p>
        </w:tc>
        <w:tc>
          <w:tcPr>
            <w:tcW w:w="0" w:type="auto"/>
            <w:tcBorders>
              <w:top w:val="nil"/>
              <w:left w:val="nil"/>
              <w:bottom w:val="single" w:sz="4" w:space="0" w:color="auto"/>
              <w:right w:val="single" w:sz="4" w:space="0" w:color="auto"/>
            </w:tcBorders>
            <w:vAlign w:val="center"/>
            <w:hideMark/>
          </w:tcPr>
          <w:p w14:paraId="18D618E1" w14:textId="69253FC1" w:rsidR="00230F4F" w:rsidRPr="009B0F6E" w:rsidRDefault="00230F4F" w:rsidP="00C44DE5">
            <w:pPr>
              <w:widowControl w:val="0"/>
              <w:rPr>
                <w:rFonts w:ascii="Calibri" w:hAnsi="Calibri" w:cs="Calibri"/>
                <w:sz w:val="22"/>
                <w:szCs w:val="22"/>
                <w:lang w:eastAsia="it-IT"/>
              </w:rPr>
            </w:pPr>
            <w:r w:rsidRPr="009B0F6E">
              <w:rPr>
                <w:rFonts w:ascii="Calibri" w:hAnsi="Calibri" w:cs="Calibri"/>
                <w:sz w:val="22"/>
                <w:szCs w:val="22"/>
                <w:lang w:eastAsia="it-IT"/>
              </w:rPr>
              <w:t xml:space="preserve">Composite of ischemic stroke and systemic embolism: 2.8% for both groups (difference 0.00, 95% CI, </w:t>
            </w:r>
            <w:r w:rsidR="00BA0F64" w:rsidRPr="009B0F6E">
              <w:rPr>
                <w:rFonts w:ascii="Calibri" w:hAnsi="Calibri" w:cs="Calibri"/>
                <w:sz w:val="22"/>
                <w:szCs w:val="22"/>
                <w:lang w:eastAsia="it-IT"/>
              </w:rPr>
              <w:t>−</w:t>
            </w:r>
            <w:r w:rsidRPr="009B0F6E">
              <w:rPr>
                <w:rFonts w:ascii="Calibri" w:hAnsi="Calibri" w:cs="Calibri"/>
                <w:sz w:val="22"/>
                <w:szCs w:val="22"/>
                <w:lang w:eastAsia="it-IT"/>
              </w:rPr>
              <w:t>1.55 to 1.55; P = 0.50)</w:t>
            </w:r>
          </w:p>
        </w:tc>
        <w:tc>
          <w:tcPr>
            <w:tcW w:w="0" w:type="auto"/>
            <w:tcBorders>
              <w:top w:val="nil"/>
              <w:left w:val="nil"/>
              <w:bottom w:val="single" w:sz="4" w:space="0" w:color="auto"/>
              <w:right w:val="single" w:sz="4" w:space="0" w:color="auto"/>
            </w:tcBorders>
            <w:vAlign w:val="center"/>
            <w:hideMark/>
          </w:tcPr>
          <w:p w14:paraId="244D903D" w14:textId="77777777" w:rsidR="00CD364B" w:rsidRPr="009B0F6E" w:rsidRDefault="00230F4F" w:rsidP="00CD364B">
            <w:pPr>
              <w:widowControl w:val="0"/>
              <w:rPr>
                <w:rFonts w:ascii="Calibri" w:hAnsi="Calibri" w:cs="Calibri"/>
                <w:sz w:val="22"/>
                <w:szCs w:val="22"/>
                <w:lang w:eastAsia="it-IT"/>
              </w:rPr>
            </w:pPr>
            <w:r w:rsidRPr="009B0F6E">
              <w:rPr>
                <w:rFonts w:ascii="Calibri" w:hAnsi="Calibri" w:cs="Calibri"/>
                <w:sz w:val="22"/>
                <w:szCs w:val="22"/>
                <w:lang w:eastAsia="it-IT"/>
              </w:rPr>
              <w:t>Composite of procedure related complications, all-cause death, or major bleeding: Amulet</w:t>
            </w:r>
          </w:p>
          <w:p w14:paraId="68851CC5" w14:textId="550BBC5C" w:rsidR="00230F4F" w:rsidRPr="009B0F6E" w:rsidRDefault="00230F4F" w:rsidP="00CD364B">
            <w:pPr>
              <w:widowControl w:val="0"/>
              <w:rPr>
                <w:rFonts w:ascii="Calibri" w:hAnsi="Calibri" w:cs="Calibri"/>
                <w:sz w:val="22"/>
                <w:szCs w:val="22"/>
                <w:lang w:eastAsia="it-IT"/>
              </w:rPr>
            </w:pPr>
            <w:r w:rsidRPr="009B0F6E">
              <w:rPr>
                <w:rFonts w:ascii="Calibri" w:hAnsi="Calibri" w:cs="Calibri"/>
                <w:sz w:val="22"/>
                <w:szCs w:val="22"/>
                <w:lang w:eastAsia="it-IT"/>
              </w:rPr>
              <w:t>14.5% vs. Watchman 14.7% for the Watchman device; P = 0.47);</w:t>
            </w:r>
          </w:p>
        </w:tc>
      </w:tr>
      <w:tr w:rsidR="00230F4F" w:rsidRPr="009B0F6E" w14:paraId="0D5D002A" w14:textId="77777777" w:rsidTr="001E0E29">
        <w:trPr>
          <w:trHeight w:val="5440"/>
        </w:trPr>
        <w:tc>
          <w:tcPr>
            <w:tcW w:w="0" w:type="auto"/>
            <w:tcBorders>
              <w:top w:val="nil"/>
              <w:left w:val="single" w:sz="4" w:space="0" w:color="auto"/>
              <w:bottom w:val="single" w:sz="4" w:space="0" w:color="auto"/>
              <w:right w:val="single" w:sz="4" w:space="0" w:color="auto"/>
            </w:tcBorders>
            <w:shd w:val="clear" w:color="000000" w:fill="8DB4E2"/>
            <w:noWrap/>
            <w:vAlign w:val="center"/>
            <w:hideMark/>
          </w:tcPr>
          <w:p w14:paraId="7EBE3B75" w14:textId="1B017A23" w:rsidR="00230F4F" w:rsidRPr="009B0F6E" w:rsidRDefault="00230F4F">
            <w:pPr>
              <w:widowControl w:val="0"/>
              <w:rPr>
                <w:rFonts w:ascii="Calibri" w:hAnsi="Calibri" w:cs="Calibri"/>
                <w:sz w:val="22"/>
                <w:szCs w:val="22"/>
                <w:vertAlign w:val="superscript"/>
                <w:lang w:eastAsia="it-IT"/>
              </w:rPr>
            </w:pPr>
            <w:r w:rsidRPr="009B0F6E">
              <w:rPr>
                <w:rFonts w:ascii="Calibri" w:hAnsi="Calibri" w:cs="Calibri"/>
                <w:sz w:val="22"/>
                <w:szCs w:val="22"/>
                <w:lang w:eastAsia="it-IT"/>
              </w:rPr>
              <w:t>Galea et al. (202</w:t>
            </w:r>
            <w:r w:rsidR="00EB1A86" w:rsidRPr="009B0F6E">
              <w:rPr>
                <w:rFonts w:ascii="Calibri" w:hAnsi="Calibri" w:cs="Calibri"/>
                <w:sz w:val="22"/>
                <w:szCs w:val="22"/>
                <w:lang w:eastAsia="it-IT"/>
              </w:rPr>
              <w:t>2</w:t>
            </w:r>
            <w:r w:rsidRPr="009B0F6E">
              <w:rPr>
                <w:rFonts w:ascii="Calibri" w:hAnsi="Calibri" w:cs="Calibri"/>
                <w:sz w:val="22"/>
                <w:szCs w:val="22"/>
                <w:lang w:eastAsia="it-IT"/>
              </w:rPr>
              <w:t>)</w:t>
            </w:r>
            <w:r w:rsidRPr="009B0F6E">
              <w:rPr>
                <w:rFonts w:ascii="Calibri" w:hAnsi="Calibri" w:cs="Calibri"/>
                <w:sz w:val="22"/>
                <w:szCs w:val="22"/>
                <w:vertAlign w:val="superscript"/>
                <w:lang w:eastAsia="it-IT"/>
              </w:rPr>
              <w:t>3</w:t>
            </w:r>
            <w:r w:rsidR="000543F4" w:rsidRPr="009B0F6E">
              <w:rPr>
                <w:rFonts w:ascii="Calibri" w:hAnsi="Calibri" w:cs="Calibri"/>
                <w:sz w:val="22"/>
                <w:szCs w:val="22"/>
                <w:vertAlign w:val="superscript"/>
                <w:lang w:eastAsia="it-IT"/>
              </w:rPr>
              <w:t>0</w:t>
            </w:r>
          </w:p>
        </w:tc>
        <w:tc>
          <w:tcPr>
            <w:tcW w:w="0" w:type="auto"/>
            <w:tcBorders>
              <w:top w:val="nil"/>
              <w:left w:val="nil"/>
              <w:bottom w:val="single" w:sz="4" w:space="0" w:color="auto"/>
              <w:right w:val="single" w:sz="4" w:space="0" w:color="auto"/>
            </w:tcBorders>
            <w:noWrap/>
            <w:vAlign w:val="center"/>
            <w:hideMark/>
          </w:tcPr>
          <w:p w14:paraId="62FBF23C" w14:textId="22B74CE2"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SWISS</w:t>
            </w:r>
            <w:r w:rsidRPr="009B0F6E">
              <w:rPr>
                <w:rFonts w:ascii="Calibri" w:hAnsi="Calibri" w:cs="Calibri"/>
                <w:sz w:val="22"/>
                <w:szCs w:val="22"/>
                <w:lang w:eastAsia="it-IT"/>
              </w:rPr>
              <w:noBreakHyphen/>
              <w:t>APERO</w:t>
            </w:r>
          </w:p>
        </w:tc>
        <w:tc>
          <w:tcPr>
            <w:tcW w:w="0" w:type="auto"/>
            <w:tcBorders>
              <w:top w:val="nil"/>
              <w:left w:val="nil"/>
              <w:bottom w:val="single" w:sz="4" w:space="0" w:color="auto"/>
              <w:right w:val="single" w:sz="4" w:space="0" w:color="auto"/>
            </w:tcBorders>
            <w:noWrap/>
            <w:vAlign w:val="center"/>
            <w:hideMark/>
          </w:tcPr>
          <w:p w14:paraId="7688D603"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Amulet/ Watchman FLX (&gt;80%)/2.5</w:t>
            </w:r>
          </w:p>
        </w:tc>
        <w:tc>
          <w:tcPr>
            <w:tcW w:w="0" w:type="auto"/>
            <w:tcBorders>
              <w:top w:val="nil"/>
              <w:left w:val="nil"/>
              <w:bottom w:val="single" w:sz="4" w:space="0" w:color="auto"/>
              <w:right w:val="single" w:sz="4" w:space="0" w:color="auto"/>
            </w:tcBorders>
            <w:vAlign w:val="center"/>
            <w:hideMark/>
          </w:tcPr>
          <w:p w14:paraId="7A8738B5"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Age, 76.5 ± 7.1 vs.77.3 ± 8.4</w:t>
            </w:r>
          </w:p>
          <w:p w14:paraId="30976F44"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CHA2DS2Vasc, 4.2 ± 1.4 vs. 4.4 ± 1.4</w:t>
            </w:r>
          </w:p>
          <w:p w14:paraId="3C9452C1" w14:textId="6F891323"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HAS-BLED 3.1</w:t>
            </w:r>
            <w:r w:rsidR="000A5F4C" w:rsidRPr="009B0F6E">
              <w:rPr>
                <w:rFonts w:ascii="Calibri" w:hAnsi="Calibri" w:cs="Calibri"/>
                <w:sz w:val="22"/>
                <w:szCs w:val="22"/>
                <w:lang w:eastAsia="it-IT"/>
              </w:rPr>
              <w:t xml:space="preserve"> </w:t>
            </w:r>
            <w:r w:rsidRPr="009B0F6E">
              <w:rPr>
                <w:rFonts w:ascii="Calibri" w:hAnsi="Calibri" w:cs="Calibri"/>
                <w:sz w:val="22"/>
                <w:szCs w:val="22"/>
                <w:lang w:eastAsia="it-IT"/>
              </w:rPr>
              <w:t>± 0.8 vs. 3.2 ± 1.0</w:t>
            </w:r>
          </w:p>
        </w:tc>
        <w:tc>
          <w:tcPr>
            <w:tcW w:w="0" w:type="auto"/>
            <w:tcBorders>
              <w:top w:val="nil"/>
              <w:left w:val="nil"/>
              <w:bottom w:val="single" w:sz="4" w:space="0" w:color="auto"/>
              <w:right w:val="single" w:sz="4" w:space="0" w:color="auto"/>
            </w:tcBorders>
            <w:vAlign w:val="center"/>
            <w:hideMark/>
          </w:tcPr>
          <w:p w14:paraId="213781CB"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Aspirin and clopidogrel or OAC to 3 months, aspirin indefinitely</w:t>
            </w:r>
          </w:p>
        </w:tc>
        <w:tc>
          <w:tcPr>
            <w:tcW w:w="0" w:type="auto"/>
            <w:tcBorders>
              <w:top w:val="nil"/>
              <w:left w:val="nil"/>
              <w:bottom w:val="single" w:sz="4" w:space="0" w:color="auto"/>
              <w:right w:val="single" w:sz="4" w:space="0" w:color="auto"/>
            </w:tcBorders>
            <w:vAlign w:val="center"/>
            <w:hideMark/>
          </w:tcPr>
          <w:p w14:paraId="697B0DC1" w14:textId="6D0D4E78" w:rsidR="00230F4F" w:rsidRPr="009B0F6E" w:rsidRDefault="00230F4F">
            <w:pPr>
              <w:widowControl w:val="0"/>
              <w:rPr>
                <w:rFonts w:ascii="Calibri" w:hAnsi="Calibri" w:cs="Calibri"/>
                <w:sz w:val="22"/>
                <w:szCs w:val="22"/>
                <w:lang w:eastAsia="it-IT"/>
              </w:rPr>
            </w:pPr>
            <w:r w:rsidRPr="009B0F6E">
              <w:rPr>
                <w:rFonts w:ascii="Calibri" w:hAnsi="Calibri" w:cs="Calibri"/>
                <w:sz w:val="22"/>
                <w:szCs w:val="22"/>
                <w:lang w:eastAsia="it-IT"/>
              </w:rPr>
              <w:t>Composite of justified crossover to the nonrandomly allocated device or 45-day peridevice leak: Amulet 67.6% vs Watchman 70% (risk ratio 0.97, 95% CI, 0.80 to 1.16; P = 0.713)</w:t>
            </w:r>
          </w:p>
        </w:tc>
        <w:tc>
          <w:tcPr>
            <w:tcW w:w="0" w:type="auto"/>
            <w:tcBorders>
              <w:top w:val="nil"/>
              <w:left w:val="nil"/>
              <w:bottom w:val="single" w:sz="4" w:space="0" w:color="auto"/>
              <w:right w:val="single" w:sz="4" w:space="0" w:color="auto"/>
            </w:tcBorders>
            <w:vAlign w:val="center"/>
            <w:hideMark/>
          </w:tcPr>
          <w:p w14:paraId="30CB8A1E"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Any periprocedural complication: Amulet 32.4% vs Watchman 19.1% (P = 0.023);</w:t>
            </w:r>
          </w:p>
          <w:p w14:paraId="0B7E750C" w14:textId="32883FAA" w:rsidR="00230F4F" w:rsidRPr="009B0F6E" w:rsidRDefault="00230F4F">
            <w:pPr>
              <w:widowControl w:val="0"/>
              <w:rPr>
                <w:rFonts w:ascii="Calibri" w:hAnsi="Calibri" w:cs="Calibri"/>
                <w:sz w:val="22"/>
                <w:szCs w:val="22"/>
                <w:lang w:eastAsia="it-IT"/>
              </w:rPr>
            </w:pPr>
            <w:r w:rsidRPr="009B0F6E">
              <w:rPr>
                <w:rFonts w:ascii="Calibri" w:hAnsi="Calibri" w:cs="Calibri"/>
                <w:sz w:val="22"/>
                <w:szCs w:val="22"/>
                <w:lang w:eastAsia="it-IT"/>
              </w:rPr>
              <w:t>Major procedure-related complications: Amulet 9.0% vs. Watchman 2.7%; P = 0.047)</w:t>
            </w:r>
          </w:p>
        </w:tc>
      </w:tr>
      <w:tr w:rsidR="00230F4F" w:rsidRPr="009B0F6E" w14:paraId="37D5A38E" w14:textId="77777777" w:rsidTr="001E0E29">
        <w:trPr>
          <w:trHeight w:val="166"/>
        </w:trPr>
        <w:tc>
          <w:tcPr>
            <w:tcW w:w="0" w:type="auto"/>
            <w:tcBorders>
              <w:top w:val="nil"/>
              <w:left w:val="single" w:sz="4" w:space="0" w:color="auto"/>
              <w:bottom w:val="single" w:sz="4" w:space="0" w:color="auto"/>
              <w:right w:val="single" w:sz="4" w:space="0" w:color="auto"/>
            </w:tcBorders>
            <w:shd w:val="clear" w:color="000000" w:fill="8DB4E2"/>
            <w:noWrap/>
            <w:vAlign w:val="center"/>
            <w:hideMark/>
          </w:tcPr>
          <w:p w14:paraId="43DC0494" w14:textId="2FFF3028" w:rsidR="00230F4F" w:rsidRPr="009B0F6E" w:rsidRDefault="00230F4F" w:rsidP="003A7AD9">
            <w:pPr>
              <w:widowControl w:val="0"/>
              <w:rPr>
                <w:rFonts w:ascii="Calibri" w:hAnsi="Calibri" w:cs="Calibri"/>
                <w:sz w:val="22"/>
                <w:szCs w:val="22"/>
                <w:vertAlign w:val="superscript"/>
                <w:lang w:eastAsia="it-IT"/>
              </w:rPr>
            </w:pPr>
            <w:r w:rsidRPr="009B0F6E">
              <w:rPr>
                <w:rFonts w:ascii="Calibri" w:hAnsi="Calibri" w:cs="Calibri"/>
                <w:sz w:val="22"/>
                <w:szCs w:val="22"/>
                <w:lang w:eastAsia="it-IT"/>
              </w:rPr>
              <w:t>Wazni et al. (2025)</w:t>
            </w:r>
            <w:r w:rsidRPr="009B0F6E">
              <w:rPr>
                <w:rFonts w:ascii="Calibri" w:hAnsi="Calibri" w:cs="Calibri"/>
                <w:sz w:val="22"/>
                <w:szCs w:val="22"/>
                <w:vertAlign w:val="superscript"/>
                <w:lang w:eastAsia="it-IT"/>
              </w:rPr>
              <w:t>5</w:t>
            </w:r>
            <w:r w:rsidR="000543F4" w:rsidRPr="009B0F6E">
              <w:rPr>
                <w:rFonts w:ascii="Calibri" w:hAnsi="Calibri" w:cs="Calibri"/>
                <w:sz w:val="22"/>
                <w:szCs w:val="22"/>
                <w:vertAlign w:val="superscript"/>
                <w:lang w:eastAsia="it-IT"/>
              </w:rPr>
              <w:t>2</w:t>
            </w:r>
          </w:p>
        </w:tc>
        <w:tc>
          <w:tcPr>
            <w:tcW w:w="0" w:type="auto"/>
            <w:tcBorders>
              <w:top w:val="nil"/>
              <w:left w:val="nil"/>
              <w:bottom w:val="single" w:sz="4" w:space="0" w:color="auto"/>
              <w:right w:val="single" w:sz="4" w:space="0" w:color="auto"/>
            </w:tcBorders>
            <w:noWrap/>
            <w:vAlign w:val="center"/>
            <w:hideMark/>
          </w:tcPr>
          <w:p w14:paraId="6AA879E1"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OPTION</w:t>
            </w:r>
          </w:p>
        </w:tc>
        <w:tc>
          <w:tcPr>
            <w:tcW w:w="0" w:type="auto"/>
            <w:tcBorders>
              <w:top w:val="nil"/>
              <w:left w:val="nil"/>
              <w:bottom w:val="single" w:sz="4" w:space="0" w:color="auto"/>
              <w:right w:val="single" w:sz="4" w:space="0" w:color="auto"/>
            </w:tcBorders>
            <w:noWrap/>
            <w:vAlign w:val="center"/>
            <w:hideMark/>
          </w:tcPr>
          <w:p w14:paraId="5C589DF4"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Watchman FLX</w:t>
            </w:r>
          </w:p>
        </w:tc>
        <w:tc>
          <w:tcPr>
            <w:tcW w:w="0" w:type="auto"/>
            <w:tcBorders>
              <w:top w:val="nil"/>
              <w:left w:val="nil"/>
              <w:bottom w:val="single" w:sz="4" w:space="0" w:color="auto"/>
              <w:right w:val="single" w:sz="4" w:space="0" w:color="auto"/>
            </w:tcBorders>
            <w:vAlign w:val="center"/>
            <w:hideMark/>
          </w:tcPr>
          <w:p w14:paraId="4EB08516"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Mean Age, 69.7 ± 7.4 vs. 69.4 ± 7.9</w:t>
            </w:r>
          </w:p>
          <w:p w14:paraId="64EE88F6"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CHA2DS2-VASc 3.5 ± 1.3</w:t>
            </w:r>
          </w:p>
          <w:p w14:paraId="2E093BC1"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HAS-BLED 1.2 ± 0.8</w:t>
            </w:r>
          </w:p>
        </w:tc>
        <w:tc>
          <w:tcPr>
            <w:tcW w:w="0" w:type="auto"/>
            <w:tcBorders>
              <w:top w:val="nil"/>
              <w:left w:val="nil"/>
              <w:bottom w:val="single" w:sz="4" w:space="0" w:color="auto"/>
              <w:right w:val="single" w:sz="4" w:space="0" w:color="auto"/>
            </w:tcBorders>
            <w:vAlign w:val="center"/>
            <w:hideMark/>
          </w:tcPr>
          <w:p w14:paraId="334634A7"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OAC and aspirin for 3 months, aspirin indefinitely</w:t>
            </w:r>
          </w:p>
        </w:tc>
        <w:tc>
          <w:tcPr>
            <w:tcW w:w="0" w:type="auto"/>
            <w:tcBorders>
              <w:top w:val="nil"/>
              <w:left w:val="nil"/>
              <w:bottom w:val="single" w:sz="4" w:space="0" w:color="auto"/>
              <w:right w:val="single" w:sz="4" w:space="0" w:color="auto"/>
            </w:tcBorders>
            <w:vAlign w:val="center"/>
            <w:hideMark/>
          </w:tcPr>
          <w:p w14:paraId="275EC6D5" w14:textId="77777777" w:rsidR="00230F4F" w:rsidRPr="009B0F6E" w:rsidRDefault="00230F4F" w:rsidP="003A7AD9">
            <w:pPr>
              <w:widowControl w:val="0"/>
              <w:rPr>
                <w:rFonts w:ascii="Calibri" w:hAnsi="Calibri" w:cs="Calibri"/>
                <w:sz w:val="22"/>
                <w:szCs w:val="22"/>
                <w:lang w:eastAsia="it-IT"/>
              </w:rPr>
            </w:pPr>
            <w:r w:rsidRPr="009B0F6E">
              <w:rPr>
                <w:rFonts w:ascii="Calibri" w:hAnsi="Calibri" w:cs="Calibri"/>
                <w:sz w:val="22"/>
                <w:szCs w:val="22"/>
                <w:lang w:eastAsia="it-IT"/>
              </w:rPr>
              <w:t>Composite of death from any cause, stroke, or systemic embolism: LAAC 5.3% vs control 5.8% (hazard ratio, 0.91, 95% CI, 0.59 to 1.39)</w:t>
            </w:r>
          </w:p>
        </w:tc>
        <w:tc>
          <w:tcPr>
            <w:tcW w:w="0" w:type="auto"/>
            <w:tcBorders>
              <w:top w:val="nil"/>
              <w:left w:val="nil"/>
              <w:bottom w:val="single" w:sz="4" w:space="0" w:color="auto"/>
              <w:right w:val="single" w:sz="4" w:space="0" w:color="auto"/>
            </w:tcBorders>
            <w:vAlign w:val="center"/>
            <w:hideMark/>
          </w:tcPr>
          <w:p w14:paraId="00E2A940" w14:textId="77777777" w:rsidR="00CD364B" w:rsidRPr="009B0F6E" w:rsidRDefault="00230F4F" w:rsidP="00CD364B">
            <w:pPr>
              <w:widowControl w:val="0"/>
              <w:rPr>
                <w:rFonts w:ascii="Calibri" w:hAnsi="Calibri" w:cs="Calibri"/>
                <w:sz w:val="22"/>
                <w:szCs w:val="22"/>
                <w:lang w:eastAsia="it-IT"/>
              </w:rPr>
            </w:pPr>
            <w:r w:rsidRPr="009B0F6E">
              <w:rPr>
                <w:rFonts w:ascii="Calibri" w:hAnsi="Calibri" w:cs="Calibri"/>
                <w:sz w:val="22"/>
                <w:szCs w:val="22"/>
                <w:lang w:eastAsia="it-IT"/>
              </w:rPr>
              <w:t>Non–procedure-related major bleeding or clinically relevant nonmajor bleeding: LAAC 8.5% vs. control 18.1% (hazard ratio, 0.44;</w:t>
            </w:r>
          </w:p>
          <w:p w14:paraId="79FE9CE3" w14:textId="1283B07A" w:rsidR="00230F4F" w:rsidRPr="009B0F6E" w:rsidRDefault="00230F4F" w:rsidP="00CD364B">
            <w:pPr>
              <w:widowControl w:val="0"/>
              <w:rPr>
                <w:rFonts w:ascii="Calibri" w:hAnsi="Calibri" w:cs="Calibri"/>
                <w:sz w:val="22"/>
                <w:szCs w:val="22"/>
                <w:lang w:eastAsia="it-IT"/>
              </w:rPr>
            </w:pPr>
            <w:r w:rsidRPr="009B0F6E">
              <w:rPr>
                <w:rFonts w:ascii="Calibri" w:hAnsi="Calibri" w:cs="Calibri"/>
                <w:sz w:val="22"/>
                <w:szCs w:val="22"/>
                <w:lang w:eastAsia="it-IT"/>
              </w:rPr>
              <w:t>95% CI, 0.33 to 0.59; P &lt; 0.001)</w:t>
            </w:r>
          </w:p>
        </w:tc>
      </w:tr>
    </w:tbl>
    <w:p w14:paraId="19F0586D" w14:textId="77777777" w:rsidR="00230F4F" w:rsidRPr="009B0F6E" w:rsidRDefault="00230F4F" w:rsidP="003A7AD9">
      <w:pPr>
        <w:widowControl w:val="0"/>
        <w:rPr>
          <w:rFonts w:ascii="Calibri" w:hAnsi="Calibri" w:cs="Calibri"/>
          <w:sz w:val="22"/>
          <w:szCs w:val="22"/>
        </w:rPr>
      </w:pPr>
    </w:p>
    <w:p w14:paraId="4183BD13" w14:textId="77777777" w:rsidR="00067B73" w:rsidRPr="009B0F6E" w:rsidRDefault="00067B73" w:rsidP="003A7AD9">
      <w:pPr>
        <w:widowControl w:val="0"/>
        <w:rPr>
          <w:rFonts w:ascii="Calibri" w:hAnsi="Calibri" w:cs="Calibri"/>
          <w:sz w:val="22"/>
          <w:szCs w:val="22"/>
        </w:rPr>
        <w:sectPr w:rsidR="00067B73" w:rsidRPr="009B0F6E" w:rsidSect="00067B73">
          <w:pgSz w:w="23814" w:h="16839" w:orient="landscape" w:code="8"/>
          <w:pgMar w:top="1440" w:right="1440" w:bottom="1440" w:left="1440" w:header="706" w:footer="706" w:gutter="0"/>
          <w:cols w:space="720"/>
          <w:docGrid w:linePitch="326"/>
        </w:sectPr>
      </w:pPr>
    </w:p>
    <w:p w14:paraId="6E6E2546" w14:textId="5FB1ED1C" w:rsidR="00230F4F" w:rsidRPr="009B0F6E" w:rsidRDefault="009B0F6E" w:rsidP="003A7AD9">
      <w:pPr>
        <w:widowControl w:val="0"/>
        <w:rPr>
          <w:rFonts w:ascii="Calibri" w:hAnsi="Calibri" w:cs="Calibri"/>
          <w:b/>
          <w:sz w:val="22"/>
          <w:szCs w:val="22"/>
        </w:rPr>
      </w:pPr>
      <w:r w:rsidRPr="009B0F6E">
        <w:rPr>
          <w:rFonts w:ascii="Calibri" w:hAnsi="Calibri" w:cs="Calibri"/>
          <w:b/>
          <w:sz w:val="22"/>
          <w:szCs w:val="22"/>
        </w:rPr>
        <w:t>Figure 1</w:t>
      </w:r>
    </w:p>
    <w:p w14:paraId="47E236D8" w14:textId="11410218" w:rsidR="009B0F6E" w:rsidRPr="009B0F6E" w:rsidRDefault="009B0F6E" w:rsidP="003A7AD9">
      <w:pPr>
        <w:widowControl w:val="0"/>
        <w:rPr>
          <w:rFonts w:ascii="Calibri" w:hAnsi="Calibri" w:cs="Calibri"/>
          <w:b/>
          <w:sz w:val="22"/>
          <w:szCs w:val="22"/>
        </w:rPr>
      </w:pPr>
      <w:r w:rsidRPr="009B0F6E">
        <w:rPr>
          <w:rFonts w:ascii="Calibri" w:hAnsi="Calibri" w:cs="Calibri"/>
          <w:b/>
          <w:noProof/>
          <w:sz w:val="22"/>
          <w:szCs w:val="22"/>
          <w:lang w:val="en-IN" w:eastAsia="en-IN"/>
        </w:rPr>
        <w:drawing>
          <wp:inline distT="0" distB="0" distL="0" distR="0" wp14:anchorId="05F9FE8E" wp14:editId="051BABE2">
            <wp:extent cx="5727700" cy="322199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 1_page-0001.jpg"/>
                    <pic:cNvPicPr/>
                  </pic:nvPicPr>
                  <pic:blipFill>
                    <a:blip r:embed="rId197" cstate="print">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sectPr w:rsidR="009B0F6E" w:rsidRPr="009B0F6E" w:rsidSect="003E17F8">
      <w:pgSz w:w="11900" w:h="16840"/>
      <w:pgMar w:top="1440" w:right="1440" w:bottom="1440" w:left="1440"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A8A16" w14:textId="77777777" w:rsidR="00CC4C18" w:rsidRDefault="00CC4C18">
      <w:r>
        <w:separator/>
      </w:r>
    </w:p>
  </w:endnote>
  <w:endnote w:type="continuationSeparator" w:id="0">
    <w:p w14:paraId="069A1A46" w14:textId="77777777" w:rsidR="00CC4C18" w:rsidRDefault="00CC4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5AEEC" w14:textId="77777777" w:rsidR="00CC4C18" w:rsidRDefault="00CC4C18">
      <w:r>
        <w:separator/>
      </w:r>
    </w:p>
  </w:footnote>
  <w:footnote w:type="continuationSeparator" w:id="0">
    <w:p w14:paraId="0C4EBA9D" w14:textId="77777777" w:rsidR="00CC4C18" w:rsidRDefault="00CC4C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841E5"/>
    <w:multiLevelType w:val="hybridMultilevel"/>
    <w:tmpl w:val="DED41176"/>
    <w:lvl w:ilvl="0" w:tplc="722ED0B2">
      <w:start w:val="1"/>
      <w:numFmt w:val="decimal"/>
      <w:lvlText w:val="%1."/>
      <w:lvlJc w:val="left"/>
      <w:pPr>
        <w:ind w:left="720" w:hanging="360"/>
      </w:pPr>
      <w:rPr>
        <w:rFonts w:hint="default"/>
        <w:color w:val="000000" w:themeColor="text1"/>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D7F3995"/>
    <w:multiLevelType w:val="hybridMultilevel"/>
    <w:tmpl w:val="83002A7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58F4302"/>
    <w:multiLevelType w:val="hybridMultilevel"/>
    <w:tmpl w:val="3F2E4FFE"/>
    <w:lvl w:ilvl="0" w:tplc="13A4F1C2">
      <w:start w:val="1"/>
      <w:numFmt w:val="decimal"/>
      <w:lvlText w:val="%1."/>
      <w:lvlJc w:val="left"/>
      <w:pPr>
        <w:ind w:left="735" w:hanging="37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A6C61AF"/>
    <w:multiLevelType w:val="hybridMultilevel"/>
    <w:tmpl w:val="7C92920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127"/>
    <w:rsid w:val="0003210F"/>
    <w:rsid w:val="00034715"/>
    <w:rsid w:val="00034C89"/>
    <w:rsid w:val="00037B1F"/>
    <w:rsid w:val="000543F4"/>
    <w:rsid w:val="000567FE"/>
    <w:rsid w:val="00067B73"/>
    <w:rsid w:val="000824B3"/>
    <w:rsid w:val="00082A66"/>
    <w:rsid w:val="0009445B"/>
    <w:rsid w:val="000A5B94"/>
    <w:rsid w:val="000A5F4C"/>
    <w:rsid w:val="000C0B89"/>
    <w:rsid w:val="000C15C9"/>
    <w:rsid w:val="000C6287"/>
    <w:rsid w:val="000C756F"/>
    <w:rsid w:val="000E40FA"/>
    <w:rsid w:val="000E746D"/>
    <w:rsid w:val="001140EB"/>
    <w:rsid w:val="00122467"/>
    <w:rsid w:val="00130FDA"/>
    <w:rsid w:val="0013402B"/>
    <w:rsid w:val="0014339F"/>
    <w:rsid w:val="00162520"/>
    <w:rsid w:val="001719C2"/>
    <w:rsid w:val="001A0BCB"/>
    <w:rsid w:val="001C2442"/>
    <w:rsid w:val="001C53D9"/>
    <w:rsid w:val="001C5CF5"/>
    <w:rsid w:val="001C7DB8"/>
    <w:rsid w:val="001D7853"/>
    <w:rsid w:val="001E0E29"/>
    <w:rsid w:val="00204EBE"/>
    <w:rsid w:val="002118B1"/>
    <w:rsid w:val="00212A0F"/>
    <w:rsid w:val="00217880"/>
    <w:rsid w:val="00230F4F"/>
    <w:rsid w:val="00240440"/>
    <w:rsid w:val="00253CC7"/>
    <w:rsid w:val="002602E5"/>
    <w:rsid w:val="002614D4"/>
    <w:rsid w:val="0028437E"/>
    <w:rsid w:val="00292CCE"/>
    <w:rsid w:val="002B5688"/>
    <w:rsid w:val="002C1275"/>
    <w:rsid w:val="002C3895"/>
    <w:rsid w:val="002E2F47"/>
    <w:rsid w:val="002F350E"/>
    <w:rsid w:val="002F47A5"/>
    <w:rsid w:val="00303D9D"/>
    <w:rsid w:val="0030602C"/>
    <w:rsid w:val="003108BA"/>
    <w:rsid w:val="00314654"/>
    <w:rsid w:val="00321DBD"/>
    <w:rsid w:val="003261E9"/>
    <w:rsid w:val="0033153F"/>
    <w:rsid w:val="00343CEC"/>
    <w:rsid w:val="00347C06"/>
    <w:rsid w:val="00351D23"/>
    <w:rsid w:val="00362615"/>
    <w:rsid w:val="00387342"/>
    <w:rsid w:val="003A7AD9"/>
    <w:rsid w:val="003A7F4C"/>
    <w:rsid w:val="003C567C"/>
    <w:rsid w:val="003E013E"/>
    <w:rsid w:val="003E16B3"/>
    <w:rsid w:val="003E17F8"/>
    <w:rsid w:val="003E7CB3"/>
    <w:rsid w:val="00403AAF"/>
    <w:rsid w:val="00416834"/>
    <w:rsid w:val="00452445"/>
    <w:rsid w:val="00457710"/>
    <w:rsid w:val="0046514B"/>
    <w:rsid w:val="00465B6D"/>
    <w:rsid w:val="004B2616"/>
    <w:rsid w:val="004C3E46"/>
    <w:rsid w:val="004D700B"/>
    <w:rsid w:val="004E2D05"/>
    <w:rsid w:val="004F0C99"/>
    <w:rsid w:val="004F1480"/>
    <w:rsid w:val="004F3C3D"/>
    <w:rsid w:val="004F4E9D"/>
    <w:rsid w:val="00502574"/>
    <w:rsid w:val="00505805"/>
    <w:rsid w:val="00507465"/>
    <w:rsid w:val="00526611"/>
    <w:rsid w:val="00547288"/>
    <w:rsid w:val="0056603F"/>
    <w:rsid w:val="00596DB6"/>
    <w:rsid w:val="005A09B5"/>
    <w:rsid w:val="005B04CC"/>
    <w:rsid w:val="005C1B38"/>
    <w:rsid w:val="005C211D"/>
    <w:rsid w:val="005C78C9"/>
    <w:rsid w:val="005C7A7C"/>
    <w:rsid w:val="005C7F85"/>
    <w:rsid w:val="005D02C1"/>
    <w:rsid w:val="005F36CA"/>
    <w:rsid w:val="005F74CB"/>
    <w:rsid w:val="00602913"/>
    <w:rsid w:val="00612076"/>
    <w:rsid w:val="0061630C"/>
    <w:rsid w:val="006163D1"/>
    <w:rsid w:val="006228D3"/>
    <w:rsid w:val="00623451"/>
    <w:rsid w:val="00623619"/>
    <w:rsid w:val="00634277"/>
    <w:rsid w:val="00640464"/>
    <w:rsid w:val="00646362"/>
    <w:rsid w:val="00673F1D"/>
    <w:rsid w:val="006B2E96"/>
    <w:rsid w:val="006D36E6"/>
    <w:rsid w:val="006E5ADA"/>
    <w:rsid w:val="006F0A84"/>
    <w:rsid w:val="00723975"/>
    <w:rsid w:val="00724450"/>
    <w:rsid w:val="007333E6"/>
    <w:rsid w:val="00770E39"/>
    <w:rsid w:val="00780169"/>
    <w:rsid w:val="007A25D0"/>
    <w:rsid w:val="007B429D"/>
    <w:rsid w:val="007D0405"/>
    <w:rsid w:val="007D1936"/>
    <w:rsid w:val="007E3285"/>
    <w:rsid w:val="007E5156"/>
    <w:rsid w:val="00803AFC"/>
    <w:rsid w:val="00811276"/>
    <w:rsid w:val="00824DBD"/>
    <w:rsid w:val="00825106"/>
    <w:rsid w:val="00834D4C"/>
    <w:rsid w:val="00846F7F"/>
    <w:rsid w:val="0085047B"/>
    <w:rsid w:val="00851F02"/>
    <w:rsid w:val="008575CC"/>
    <w:rsid w:val="00863253"/>
    <w:rsid w:val="0087297C"/>
    <w:rsid w:val="00897719"/>
    <w:rsid w:val="008B19E7"/>
    <w:rsid w:val="008B1E81"/>
    <w:rsid w:val="008B369B"/>
    <w:rsid w:val="008B795B"/>
    <w:rsid w:val="008C07BB"/>
    <w:rsid w:val="008C266D"/>
    <w:rsid w:val="008C61D7"/>
    <w:rsid w:val="008D075A"/>
    <w:rsid w:val="008E1C86"/>
    <w:rsid w:val="008F23B3"/>
    <w:rsid w:val="009047E9"/>
    <w:rsid w:val="00911E26"/>
    <w:rsid w:val="00912D01"/>
    <w:rsid w:val="009145BB"/>
    <w:rsid w:val="00962FFC"/>
    <w:rsid w:val="00963274"/>
    <w:rsid w:val="00980B6B"/>
    <w:rsid w:val="00982016"/>
    <w:rsid w:val="00996D05"/>
    <w:rsid w:val="009A603E"/>
    <w:rsid w:val="009B0612"/>
    <w:rsid w:val="009B0F6E"/>
    <w:rsid w:val="009B1937"/>
    <w:rsid w:val="009B761A"/>
    <w:rsid w:val="009D4B91"/>
    <w:rsid w:val="009D740F"/>
    <w:rsid w:val="00A02E12"/>
    <w:rsid w:val="00A03C92"/>
    <w:rsid w:val="00A148AD"/>
    <w:rsid w:val="00A2571F"/>
    <w:rsid w:val="00A26FBD"/>
    <w:rsid w:val="00A42133"/>
    <w:rsid w:val="00A920BC"/>
    <w:rsid w:val="00A94AEA"/>
    <w:rsid w:val="00AA3B69"/>
    <w:rsid w:val="00AA3F94"/>
    <w:rsid w:val="00AA7B5F"/>
    <w:rsid w:val="00AB0B9D"/>
    <w:rsid w:val="00AB1732"/>
    <w:rsid w:val="00AC08C3"/>
    <w:rsid w:val="00AC4DE5"/>
    <w:rsid w:val="00AD3D90"/>
    <w:rsid w:val="00AD79BD"/>
    <w:rsid w:val="00AE0AA3"/>
    <w:rsid w:val="00AE4C0E"/>
    <w:rsid w:val="00B01F9D"/>
    <w:rsid w:val="00B05690"/>
    <w:rsid w:val="00B0747D"/>
    <w:rsid w:val="00B1673A"/>
    <w:rsid w:val="00B567B8"/>
    <w:rsid w:val="00B571C6"/>
    <w:rsid w:val="00B72F4E"/>
    <w:rsid w:val="00B73EF9"/>
    <w:rsid w:val="00B965D3"/>
    <w:rsid w:val="00BA0F64"/>
    <w:rsid w:val="00BA1BCD"/>
    <w:rsid w:val="00BA49ED"/>
    <w:rsid w:val="00BB584A"/>
    <w:rsid w:val="00BC17F0"/>
    <w:rsid w:val="00BF2B59"/>
    <w:rsid w:val="00C015E7"/>
    <w:rsid w:val="00C05108"/>
    <w:rsid w:val="00C1376C"/>
    <w:rsid w:val="00C178DB"/>
    <w:rsid w:val="00C205A1"/>
    <w:rsid w:val="00C44DE5"/>
    <w:rsid w:val="00C54D2B"/>
    <w:rsid w:val="00C54DD4"/>
    <w:rsid w:val="00C73B6B"/>
    <w:rsid w:val="00C754E5"/>
    <w:rsid w:val="00C77B18"/>
    <w:rsid w:val="00C83988"/>
    <w:rsid w:val="00C854D0"/>
    <w:rsid w:val="00CA2FC0"/>
    <w:rsid w:val="00CB2BD6"/>
    <w:rsid w:val="00CC1BBF"/>
    <w:rsid w:val="00CC4C18"/>
    <w:rsid w:val="00CD0F7A"/>
    <w:rsid w:val="00CD364B"/>
    <w:rsid w:val="00CD652B"/>
    <w:rsid w:val="00CE21C3"/>
    <w:rsid w:val="00CF4489"/>
    <w:rsid w:val="00CF5137"/>
    <w:rsid w:val="00CF5A02"/>
    <w:rsid w:val="00CF64E8"/>
    <w:rsid w:val="00D12D68"/>
    <w:rsid w:val="00D1431E"/>
    <w:rsid w:val="00D22FC2"/>
    <w:rsid w:val="00D43B61"/>
    <w:rsid w:val="00D60D9A"/>
    <w:rsid w:val="00D646AA"/>
    <w:rsid w:val="00D64E54"/>
    <w:rsid w:val="00D7256E"/>
    <w:rsid w:val="00D858EC"/>
    <w:rsid w:val="00D86F35"/>
    <w:rsid w:val="00DA05FF"/>
    <w:rsid w:val="00DB3C8A"/>
    <w:rsid w:val="00DC4445"/>
    <w:rsid w:val="00DD3127"/>
    <w:rsid w:val="00DD60C0"/>
    <w:rsid w:val="00DF14E4"/>
    <w:rsid w:val="00DF3253"/>
    <w:rsid w:val="00E00C25"/>
    <w:rsid w:val="00E04DAC"/>
    <w:rsid w:val="00E063CA"/>
    <w:rsid w:val="00E152B1"/>
    <w:rsid w:val="00E15CEF"/>
    <w:rsid w:val="00E255D4"/>
    <w:rsid w:val="00E258B5"/>
    <w:rsid w:val="00E379BD"/>
    <w:rsid w:val="00E6337E"/>
    <w:rsid w:val="00E642A7"/>
    <w:rsid w:val="00E678A6"/>
    <w:rsid w:val="00E8119E"/>
    <w:rsid w:val="00E816DC"/>
    <w:rsid w:val="00E851FE"/>
    <w:rsid w:val="00E875DC"/>
    <w:rsid w:val="00E932D8"/>
    <w:rsid w:val="00EB0AA2"/>
    <w:rsid w:val="00EB1980"/>
    <w:rsid w:val="00EB1A86"/>
    <w:rsid w:val="00EC7221"/>
    <w:rsid w:val="00EE077A"/>
    <w:rsid w:val="00EF08F2"/>
    <w:rsid w:val="00F16D26"/>
    <w:rsid w:val="00F3555D"/>
    <w:rsid w:val="00F4378C"/>
    <w:rsid w:val="00F56FD1"/>
    <w:rsid w:val="00F56FEB"/>
    <w:rsid w:val="00F62205"/>
    <w:rsid w:val="00F641ED"/>
    <w:rsid w:val="00F655DB"/>
    <w:rsid w:val="00FA3C63"/>
    <w:rsid w:val="00FA6882"/>
    <w:rsid w:val="00FB1921"/>
    <w:rsid w:val="00FC22D8"/>
    <w:rsid w:val="00FE1A1D"/>
    <w:rsid w:val="00FE3DE9"/>
    <w:rsid w:val="00FF3363"/>
    <w:rsid w:val="00FF7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0E217"/>
  <w15:docId w15:val="{DBE2D6B1-496D-104D-9581-C8D351079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olor w:val="000000"/>
      <w:sz w:val="24"/>
      <w:szCs w:val="24"/>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0F4761"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auto"/>
          <w:left w:val="none" w:sz="0" w:space="0" w:color="auto"/>
          <w:bottom w:val="single" w:sz="4" w:space="0" w:color="63BDE6" w:themeColor="accent1" w:themeTint="80"/>
          <w:right w:val="none" w:sz="0" w:space="0" w:color="auto"/>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auto"/>
          <w:left w:val="none" w:sz="0" w:space="0" w:color="auto"/>
          <w:bottom w:val="none" w:sz="0" w:space="0" w:color="auto"/>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auto"/>
          <w:left w:val="single" w:sz="4" w:space="0" w:color="63BDE6" w:themeColor="accent1" w:themeTint="80"/>
          <w:bottom w:val="none" w:sz="0" w:space="0" w:color="auto"/>
          <w:right w:val="none" w:sz="0" w:space="0" w:color="auto"/>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auto"/>
          <w:left w:val="none" w:sz="0" w:space="0" w:color="auto"/>
          <w:bottom w:val="single" w:sz="4" w:space="0" w:color="196C24" w:themeColor="accent3" w:themeTint="FE"/>
          <w:right w:val="none" w:sz="0" w:space="0" w:color="auto"/>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auto"/>
          <w:left w:val="none" w:sz="0" w:space="0" w:color="auto"/>
          <w:bottom w:val="none" w:sz="0" w:space="0" w:color="auto"/>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auto"/>
          <w:left w:val="single" w:sz="4" w:space="0" w:color="196C24" w:themeColor="accent3" w:themeTint="FE"/>
          <w:bottom w:val="none" w:sz="0" w:space="0" w:color="auto"/>
          <w:right w:val="none" w:sz="0" w:space="0" w:color="auto"/>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auto"/>
          <w:left w:val="none" w:sz="0" w:space="0" w:color="auto"/>
          <w:bottom w:val="single" w:sz="4" w:space="0" w:color="DA76CE" w:themeColor="accent5" w:themeTint="90"/>
          <w:right w:val="none" w:sz="0" w:space="0" w:color="auto"/>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auto"/>
          <w:left w:val="none" w:sz="0" w:space="0" w:color="auto"/>
          <w:bottom w:val="none" w:sz="0" w:space="0" w:color="auto"/>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auto"/>
          <w:left w:val="single" w:sz="4" w:space="0" w:color="DA76CE" w:themeColor="accent5" w:themeTint="90"/>
          <w:bottom w:val="none" w:sz="0" w:space="0" w:color="auto"/>
          <w:right w:val="none" w:sz="0" w:space="0" w:color="auto"/>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auto"/>
          <w:left w:val="none" w:sz="0" w:space="0" w:color="auto"/>
          <w:bottom w:val="single" w:sz="4" w:space="0" w:color="94DA7B" w:themeColor="accent6" w:themeTint="90"/>
          <w:right w:val="none" w:sz="0" w:space="0" w:color="auto"/>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auto"/>
          <w:left w:val="none" w:sz="0" w:space="0" w:color="auto"/>
          <w:bottom w:val="none" w:sz="0" w:space="0" w:color="auto"/>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auto"/>
          <w:left w:val="single" w:sz="4" w:space="0" w:color="94DA7B" w:themeColor="accent6" w:themeTint="90"/>
          <w:bottom w:val="none" w:sz="0" w:space="0" w:color="auto"/>
          <w:right w:val="none" w:sz="0" w:space="0" w:color="auto"/>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auto"/>
          <w:left w:val="none" w:sz="0" w:space="0" w:color="auto"/>
          <w:bottom w:val="single" w:sz="4" w:space="0" w:color="156082" w:themeColor="accent1"/>
          <w:right w:val="none" w:sz="0" w:space="0" w:color="auto"/>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auto"/>
          <w:left w:val="none" w:sz="0" w:space="0" w:color="auto"/>
          <w:bottom w:val="none" w:sz="0" w:space="0" w:color="auto"/>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auto"/>
          <w:left w:val="single" w:sz="4" w:space="0" w:color="156082" w:themeColor="accent1"/>
          <w:bottom w:val="none" w:sz="0" w:space="0" w:color="auto"/>
          <w:right w:val="none" w:sz="0" w:space="0" w:color="auto"/>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auto"/>
          <w:left w:val="none" w:sz="0" w:space="0" w:color="auto"/>
          <w:bottom w:val="single" w:sz="4" w:space="0" w:color="48D45B" w:themeColor="accent3" w:themeTint="98"/>
          <w:right w:val="none" w:sz="0" w:space="0" w:color="auto"/>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auto"/>
          <w:left w:val="none" w:sz="0" w:space="0" w:color="auto"/>
          <w:bottom w:val="none" w:sz="0" w:space="0" w:color="auto"/>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auto"/>
          <w:left w:val="single" w:sz="4" w:space="0" w:color="48D45B" w:themeColor="accent3" w:themeTint="98"/>
          <w:bottom w:val="none" w:sz="0" w:space="0" w:color="auto"/>
          <w:right w:val="none" w:sz="0" w:space="0" w:color="auto"/>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auto"/>
          <w:left w:val="none" w:sz="0" w:space="0" w:color="auto"/>
          <w:bottom w:val="single" w:sz="4" w:space="0" w:color="D76CCB" w:themeColor="accent5" w:themeTint="9A"/>
          <w:right w:val="none" w:sz="0" w:space="0" w:color="auto"/>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auto"/>
          <w:left w:val="none" w:sz="0" w:space="0" w:color="auto"/>
          <w:bottom w:val="none" w:sz="0" w:space="0" w:color="auto"/>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auto"/>
          <w:left w:val="single" w:sz="4" w:space="0" w:color="D76CCB" w:themeColor="accent5" w:themeTint="9A"/>
          <w:bottom w:val="none" w:sz="0" w:space="0" w:color="auto"/>
          <w:right w:val="none" w:sz="0" w:space="0" w:color="auto"/>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auto"/>
          <w:left w:val="none" w:sz="0" w:space="0" w:color="auto"/>
          <w:bottom w:val="single" w:sz="4" w:space="0" w:color="8ED873" w:themeColor="accent6" w:themeTint="98"/>
          <w:right w:val="none" w:sz="0" w:space="0" w:color="auto"/>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auto"/>
          <w:left w:val="none" w:sz="0" w:space="0" w:color="auto"/>
          <w:bottom w:val="none" w:sz="0" w:space="0" w:color="auto"/>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auto"/>
          <w:left w:val="single" w:sz="4" w:space="0" w:color="8ED873" w:themeColor="accent6" w:themeTint="98"/>
          <w:bottom w:val="none" w:sz="0" w:space="0" w:color="auto"/>
          <w:right w:val="none" w:sz="0" w:space="0" w:color="auto"/>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TableNormal"/>
    <w:uiPriority w:val="99"/>
    <w:rPr>
      <w:color w:val="404040"/>
      <w:lang w:val="it-IT" w:eastAsia="it-I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it-IT" w:eastAsia="it-IT"/>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TableNormal"/>
    <w:uiPriority w:val="99"/>
    <w:rPr>
      <w:color w:val="404040"/>
      <w:lang w:val="it-IT" w:eastAsia="it-IT"/>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TableNormal"/>
    <w:uiPriority w:val="99"/>
    <w:rPr>
      <w:color w:val="404040"/>
      <w:lang w:val="it-IT" w:eastAsia="it-IT"/>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TableNormal"/>
    <w:uiPriority w:val="99"/>
    <w:rPr>
      <w:color w:val="404040"/>
      <w:lang w:val="it-IT" w:eastAsia="it-IT"/>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TableNormal"/>
    <w:uiPriority w:val="99"/>
    <w:rPr>
      <w:color w:val="404040"/>
      <w:lang w:val="it-IT" w:eastAsia="it-IT"/>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TableNormal"/>
    <w:uiPriority w:val="99"/>
    <w:rPr>
      <w:color w:val="404040"/>
      <w:lang w:val="it-IT" w:eastAsia="it-IT"/>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TableNormal"/>
    <w:uiPriority w:val="99"/>
    <w:rPr>
      <w:color w:val="404040"/>
      <w:lang w:val="it-IT" w:eastAsia="it-I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it-IT" w:eastAsia="it-IT"/>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TableNormal"/>
    <w:uiPriority w:val="99"/>
    <w:rPr>
      <w:color w:val="404040"/>
      <w:lang w:val="it-IT" w:eastAsia="it-IT"/>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TableNormal"/>
    <w:uiPriority w:val="99"/>
    <w:rPr>
      <w:color w:val="404040"/>
      <w:lang w:val="it-IT" w:eastAsia="it-IT"/>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TableNormal"/>
    <w:uiPriority w:val="99"/>
    <w:rPr>
      <w:color w:val="404040"/>
      <w:lang w:val="it-IT" w:eastAsia="it-IT"/>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TableNormal"/>
    <w:uiPriority w:val="99"/>
    <w:rPr>
      <w:color w:val="404040"/>
      <w:lang w:val="it-IT" w:eastAsia="it-IT"/>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TableNormal"/>
    <w:uiPriority w:val="99"/>
    <w:rPr>
      <w:color w:val="404040"/>
      <w:lang w:val="it-IT" w:eastAsia="it-IT"/>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0F4761"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0F4761"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0F4761"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0F4761" w:themeColor="accent1" w:themeShade="BF"/>
    </w:rPr>
  </w:style>
  <w:style w:type="character" w:customStyle="1" w:styleId="Heading5Char">
    <w:name w:val="Heading 5 Char"/>
    <w:basedOn w:val="DefaultParagraphFont"/>
    <w:link w:val="Heading5"/>
    <w:uiPriority w:val="9"/>
    <w:rPr>
      <w:rFonts w:ascii="Arial" w:eastAsia="Arial" w:hAnsi="Arial" w:cs="Arial"/>
      <w:color w:val="0F476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A7A7A7"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FF00FF"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character" w:styleId="Hyperlink">
    <w:name w:val="Hyperlink"/>
    <w:rPr>
      <w:u w:val="single"/>
    </w:rPr>
  </w:style>
  <w:style w:type="paragraph" w:customStyle="1" w:styleId="Intestazioneepidipagina">
    <w:name w:val="Intestazione e piè di pagina"/>
    <w:pPr>
      <w:tabs>
        <w:tab w:val="right" w:pos="9020"/>
      </w:tabs>
    </w:pPr>
    <w:rPr>
      <w:rFonts w:cs="Arial Unicode MS"/>
      <w:color w:val="000000"/>
      <w:sz w:val="24"/>
      <w:szCs w:val="24"/>
      <w:lang w:val="it-IT"/>
      <w14:textOutline w14:w="0" w14:cap="flat" w14:cmpd="sng" w14:algn="ctr">
        <w14:noFill/>
        <w14:prstDash w14:val="solid"/>
        <w14:bevel/>
      </w14:textOutline>
    </w:rPr>
  </w:style>
  <w:style w:type="paragraph" w:customStyle="1" w:styleId="Titolo1">
    <w:name w:val="Titolo1"/>
    <w:next w:val="Corpo"/>
    <w:pPr>
      <w:keepNext/>
    </w:pPr>
    <w:rPr>
      <w:rFonts w:cs="Arial Unicode MS"/>
      <w:b/>
      <w:bCs/>
      <w:color w:val="000000"/>
      <w:sz w:val="60"/>
      <w:szCs w:val="60"/>
      <w14:textOutline w14:w="0" w14:cap="flat" w14:cmpd="sng" w14:algn="ctr">
        <w14:noFill/>
        <w14:prstDash w14:val="solid"/>
        <w14:bevel/>
      </w14:textOutline>
    </w:rPr>
  </w:style>
  <w:style w:type="paragraph" w:customStyle="1" w:styleId="Corpo">
    <w:name w:val="Corpo"/>
    <w:rPr>
      <w:rFonts w:cs="Arial Unicode MS"/>
      <w:color w:val="000000"/>
      <w:sz w:val="22"/>
      <w:szCs w:val="22"/>
      <w14:textOutline w14:w="0" w14:cap="flat" w14:cmpd="sng" w14:algn="ctr">
        <w14:noFill/>
        <w14:prstDash w14:val="solid"/>
        <w14:bevel/>
      </w14:textOutline>
    </w:rPr>
  </w:style>
  <w:style w:type="paragraph" w:customStyle="1" w:styleId="Intestazione1">
    <w:name w:val="Intestazione1"/>
    <w:next w:val="Corpo"/>
    <w:pPr>
      <w:keepNext/>
      <w:outlineLvl w:val="0"/>
    </w:pPr>
    <w:rPr>
      <w:rFonts w:cs="Arial Unicode MS"/>
      <w:b/>
      <w:bCs/>
      <w:color w:val="000000"/>
      <w:sz w:val="36"/>
      <w:szCs w:val="36"/>
      <w14:textOutline w14:w="0" w14:cap="flat" w14:cmpd="sng" w14:algn="ctr">
        <w14:noFill/>
        <w14:prstDash w14:val="solid"/>
        <w14:bevel/>
      </w14:textOutline>
    </w:rPr>
  </w:style>
  <w:style w:type="paragraph" w:styleId="NormalWeb">
    <w:name w:val="Normal (Web)"/>
    <w:rPr>
      <w:rFonts w:cs="Arial Unicode MS"/>
      <w:color w:val="000000"/>
      <w:sz w:val="24"/>
      <w:szCs w:val="24"/>
      <w:lang w:val="it-IT"/>
    </w:rPr>
  </w:style>
  <w:style w:type="paragraph" w:styleId="Bibliography">
    <w:name w:val="Bibliography"/>
    <w:next w:val="Normal"/>
    <w:pPr>
      <w:tabs>
        <w:tab w:val="left" w:pos="380"/>
      </w:tabs>
      <w:spacing w:after="240"/>
      <w:ind w:left="384" w:hanging="384"/>
    </w:pPr>
    <w:rPr>
      <w:rFonts w:cs="Arial Unicode MS"/>
      <w:color w:val="000000"/>
      <w:sz w:val="24"/>
      <w:szCs w:val="24"/>
      <w:lang w:val="it-IT"/>
    </w:rPr>
  </w:style>
  <w:style w:type="paragraph" w:styleId="Revision">
    <w:name w:val="Revision"/>
    <w:hidden/>
    <w:uiPriority w:val="99"/>
    <w:semiHidden/>
    <w:pPr>
      <w:pBdr>
        <w:top w:val="none" w:sz="0" w:space="0" w:color="000000"/>
        <w:left w:val="none" w:sz="0" w:space="0" w:color="000000"/>
        <w:bottom w:val="none" w:sz="0" w:space="0" w:color="000000"/>
        <w:right w:val="none" w:sz="0" w:space="0" w:color="000000"/>
        <w:between w:val="none" w:sz="0" w:space="0" w:color="000000"/>
      </w:pBdr>
    </w:pPr>
    <w:rPr>
      <w:rFonts w:eastAsia="Times New Roman"/>
      <w:color w:val="000000"/>
      <w:sz w:val="24"/>
      <w:szCs w:val="24"/>
      <w:lang w:val="it-IT"/>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imes New Roman"/>
      <w:color w:val="000000"/>
      <w:lang w:val="it-IT"/>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imes New Roman"/>
      <w:b/>
      <w:bCs/>
      <w:color w:val="000000"/>
      <w:lang w:val="it-IT"/>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eastAsia="Times New Roman"/>
      <w:color w:val="000000"/>
      <w:sz w:val="24"/>
      <w:szCs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eastAsia="Times New Roman"/>
      <w:color w:val="000000"/>
      <w:sz w:val="24"/>
      <w:szCs w:val="24"/>
    </w:rPr>
  </w:style>
  <w:style w:type="paragraph" w:styleId="BalloonText">
    <w:name w:val="Balloon Text"/>
    <w:basedOn w:val="Normal"/>
    <w:link w:val="BalloonTextChar"/>
    <w:uiPriority w:val="99"/>
    <w:semiHidden/>
    <w:unhideWhenUsed/>
    <w:rsid w:val="009B761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761A"/>
    <w:rPr>
      <w:rFonts w:ascii="Segoe UI" w:eastAsia="Times New Roman" w:hAnsi="Segoe UI" w:cs="Segoe UI"/>
      <w:color w:val="000000"/>
      <w:sz w:val="18"/>
      <w:szCs w:val="18"/>
    </w:rPr>
  </w:style>
  <w:style w:type="paragraph" w:customStyle="1" w:styleId="Body">
    <w:name w:val="Body"/>
    <w:rsid w:val="00BB584A"/>
    <w:pPr>
      <w:pBdr>
        <w:top w:val="nil"/>
        <w:left w:val="nil"/>
        <w:bottom w:val="nil"/>
        <w:right w:val="nil"/>
        <w:between w:val="nil"/>
        <w:bar w:val="nil"/>
      </w:pBdr>
    </w:pPr>
    <w:rPr>
      <w:rFonts w:ascii="Cambria" w:eastAsia="Cambria" w:hAnsi="Cambria" w:cs="Cambria"/>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0586754" TargetMode="External"/><Relationship Id="rId21" Type="http://schemas.openxmlformats.org/officeDocument/2006/relationships/hyperlink" Target="https://doi.org/10.4244/EIJ-D-19-00128" TargetMode="External"/><Relationship Id="rId42" Type="http://schemas.openxmlformats.org/officeDocument/2006/relationships/hyperlink" Target="https://doi.org/10.1016/j.jacc.2022.04.062" TargetMode="External"/><Relationship Id="rId63" Type="http://schemas.openxmlformats.org/officeDocument/2006/relationships/hyperlink" Target="https://doi.org/10.1161/CIRCULATIONAHA.121.057859" TargetMode="External"/><Relationship Id="rId84" Type="http://schemas.openxmlformats.org/officeDocument/2006/relationships/hyperlink" Target="https://doi.org/10.1016/S0140-6736(06)68845-4" TargetMode="External"/><Relationship Id="rId138" Type="http://schemas.openxmlformats.org/officeDocument/2006/relationships/hyperlink" Target="https://pubmed.ncbi.nlm.nih.gov/41139402" TargetMode="External"/><Relationship Id="rId159" Type="http://schemas.openxmlformats.org/officeDocument/2006/relationships/hyperlink" Target="https://doi.org/10.1016/j.jacep.2016.05.006" TargetMode="External"/><Relationship Id="rId170" Type="http://schemas.openxmlformats.org/officeDocument/2006/relationships/hyperlink" Target="https://pubmed.ncbi.nlm.nih.gov/34454881" TargetMode="External"/><Relationship Id="rId191" Type="http://schemas.openxmlformats.org/officeDocument/2006/relationships/hyperlink" Target="https://doi.org/10.4070/kcj.2020.0416" TargetMode="External"/><Relationship Id="rId196" Type="http://schemas.openxmlformats.org/officeDocument/2006/relationships/hyperlink" Target="https://pubmed.ncbi.nlm.nih.gov/33542297" TargetMode="External"/><Relationship Id="rId16" Type="http://schemas.openxmlformats.org/officeDocument/2006/relationships/hyperlink" Target="https://doi.org/10.1016/j.jscai.2022.100577" TargetMode="External"/><Relationship Id="rId107" Type="http://schemas.openxmlformats.org/officeDocument/2006/relationships/hyperlink" Target="https://pubmed.ncbi.nlm.nih.gov/39555822" TargetMode="External"/><Relationship Id="rId11" Type="http://schemas.openxmlformats.org/officeDocument/2006/relationships/hyperlink" Target="https://pubmed.ncbi.nlm.nih.gov/8572814" TargetMode="External"/><Relationship Id="rId32" Type="http://schemas.openxmlformats.org/officeDocument/2006/relationships/hyperlink" Target="https://pubmed.ncbi.nlm.nih.gov/11997272" TargetMode="External"/><Relationship Id="rId37" Type="http://schemas.openxmlformats.org/officeDocument/2006/relationships/hyperlink" Target="https://doi.org/10.1016/j.jacc.2014.04.029" TargetMode="External"/><Relationship Id="rId53" Type="http://schemas.openxmlformats.org/officeDocument/2006/relationships/hyperlink" Target="https://doi.org/10.4244/EIJV8I9A167" TargetMode="External"/><Relationship Id="rId58" Type="http://schemas.openxmlformats.org/officeDocument/2006/relationships/hyperlink" Target="https://pubmed.ncbi.nlm.nih.gov/34459659" TargetMode="External"/><Relationship Id="rId74" Type="http://schemas.openxmlformats.org/officeDocument/2006/relationships/hyperlink" Target="https://doi.org/10.1016/j.jacc.2012.06.046" TargetMode="External"/><Relationship Id="rId79" Type="http://schemas.openxmlformats.org/officeDocument/2006/relationships/hyperlink" Target="https://pubmed.ncbi.nlm.nih.gov/29103847" TargetMode="External"/><Relationship Id="rId102" Type="http://schemas.openxmlformats.org/officeDocument/2006/relationships/hyperlink" Target="https://doi.org/10.1016/j.jacc.2020.04.067" TargetMode="External"/><Relationship Id="rId123" Type="http://schemas.openxmlformats.org/officeDocument/2006/relationships/hyperlink" Target="https://pubmed.ncbi.nlm.nih.gov/31171282" TargetMode="External"/><Relationship Id="rId128" Type="http://schemas.openxmlformats.org/officeDocument/2006/relationships/hyperlink" Target="https://pubmed.ncbi.nlm.nih.gov/32943160" TargetMode="External"/><Relationship Id="rId144" Type="http://schemas.openxmlformats.org/officeDocument/2006/relationships/hyperlink" Target="https://pubmed.ncbi.nlm.nih.gov/29622159" TargetMode="External"/><Relationship Id="rId149" Type="http://schemas.openxmlformats.org/officeDocument/2006/relationships/hyperlink" Target="https://doi.org/10.1161/CIRCULATIONAHA.121.054990" TargetMode="External"/><Relationship Id="rId5" Type="http://schemas.openxmlformats.org/officeDocument/2006/relationships/footnotes" Target="footnotes.xml"/><Relationship Id="rId90" Type="http://schemas.openxmlformats.org/officeDocument/2006/relationships/hyperlink" Target="https://doi.org/10.1056/NEJMoa1107039" TargetMode="External"/><Relationship Id="rId95" Type="http://schemas.openxmlformats.org/officeDocument/2006/relationships/hyperlink" Target="https://pubmed.ncbi.nlm.nih.gov/31474583" TargetMode="External"/><Relationship Id="rId160" Type="http://schemas.openxmlformats.org/officeDocument/2006/relationships/hyperlink" Target="https://pubmed.ncbi.nlm.nih.gov/29759698" TargetMode="External"/><Relationship Id="rId165" Type="http://schemas.openxmlformats.org/officeDocument/2006/relationships/hyperlink" Target="https://doi.org/10.1016/j.jcin.2018.11.001" TargetMode="External"/><Relationship Id="rId181" Type="http://schemas.openxmlformats.org/officeDocument/2006/relationships/hyperlink" Target="https://doi.org/10.4244/EIJ-D-21-00286" TargetMode="External"/><Relationship Id="rId186" Type="http://schemas.openxmlformats.org/officeDocument/2006/relationships/hyperlink" Target="https://pubmed.ncbi.nlm.nih.gov/34736735" TargetMode="External"/><Relationship Id="rId22" Type="http://schemas.openxmlformats.org/officeDocument/2006/relationships/hyperlink" Target="https://pubmed.ncbi.nlm.nih.gov/30910768" TargetMode="External"/><Relationship Id="rId27" Type="http://schemas.openxmlformats.org/officeDocument/2006/relationships/hyperlink" Target="https://doi.org/10.1016/j.jacc.2005.03.042" TargetMode="External"/><Relationship Id="rId43" Type="http://schemas.openxmlformats.org/officeDocument/2006/relationships/hyperlink" Target="https://pubmed.ncbi.nlm.nih.gov/35902169" TargetMode="External"/><Relationship Id="rId48" Type="http://schemas.openxmlformats.org/officeDocument/2006/relationships/hyperlink" Target="https://doi.org/10.1161/CIRCINTERVENTIONS.123.013750" TargetMode="External"/><Relationship Id="rId64" Type="http://schemas.openxmlformats.org/officeDocument/2006/relationships/hyperlink" Target="https://pubmed.ncbi.nlm.nih.gov/34747186" TargetMode="External"/><Relationship Id="rId69" Type="http://schemas.openxmlformats.org/officeDocument/2006/relationships/hyperlink" Target="https://doi.org/10.1016/j.jacc.2025.03.535" TargetMode="External"/><Relationship Id="rId113" Type="http://schemas.openxmlformats.org/officeDocument/2006/relationships/hyperlink" Target="https://pubmed.ncbi.nlm.nih.gov/20723861" TargetMode="External"/><Relationship Id="rId118" Type="http://schemas.openxmlformats.org/officeDocument/2006/relationships/hyperlink" Target="https://doi.org/10.1016/j.jacc.2023.08.010" TargetMode="External"/><Relationship Id="rId134" Type="http://schemas.openxmlformats.org/officeDocument/2006/relationships/hyperlink" Target="https://pubmed.ncbi.nlm.nih.gov/32674675" TargetMode="External"/><Relationship Id="rId139" Type="http://schemas.openxmlformats.org/officeDocument/2006/relationships/hyperlink" Target="https://doi.org/10.25270/jic/20.00111" TargetMode="External"/><Relationship Id="rId80" Type="http://schemas.openxmlformats.org/officeDocument/2006/relationships/hyperlink" Target="https://doi.org/10.1016/j.jacc.2013.03.035" TargetMode="External"/><Relationship Id="rId85" Type="http://schemas.openxmlformats.org/officeDocument/2006/relationships/hyperlink" Target="https://pubmed.ncbi.nlm.nih.gov/16765759" TargetMode="External"/><Relationship Id="rId150" Type="http://schemas.openxmlformats.org/officeDocument/2006/relationships/hyperlink" Target="https://pubmed.ncbi.nlm.nih.gov/36335914" TargetMode="External"/><Relationship Id="rId155" Type="http://schemas.openxmlformats.org/officeDocument/2006/relationships/hyperlink" Target="https://doi.org/10.1016/j.jacep.2018.09.007" TargetMode="External"/><Relationship Id="rId171" Type="http://schemas.openxmlformats.org/officeDocument/2006/relationships/hyperlink" Target="https://doi.org/10.1016/j.jcin.2022.09.001" TargetMode="External"/><Relationship Id="rId176" Type="http://schemas.openxmlformats.org/officeDocument/2006/relationships/hyperlink" Target="https://pubmed.ncbi.nlm.nih.gov/35233927" TargetMode="External"/><Relationship Id="rId192" Type="http://schemas.openxmlformats.org/officeDocument/2006/relationships/hyperlink" Target="https://pubmed.ncbi.nlm.nih.gov/33377326" TargetMode="External"/><Relationship Id="rId197" Type="http://schemas.openxmlformats.org/officeDocument/2006/relationships/image" Target="media/image1.jpeg"/><Relationship Id="rId12" Type="http://schemas.openxmlformats.org/officeDocument/2006/relationships/hyperlink" Target="https://doi.org/10.1093/eurheartj/ehae176" TargetMode="External"/><Relationship Id="rId17" Type="http://schemas.openxmlformats.org/officeDocument/2006/relationships/hyperlink" Target="https://doi.org/10.1001/jama.1949.02900440011003" TargetMode="External"/><Relationship Id="rId33" Type="http://schemas.openxmlformats.org/officeDocument/2006/relationships/hyperlink" Target="https://doi.org/10.1016/S0140-6736(09)61343-X" TargetMode="External"/><Relationship Id="rId38" Type="http://schemas.openxmlformats.org/officeDocument/2006/relationships/hyperlink" Target="https://doi.org/10.1161/CIRCULATIONAHA.120.050117" TargetMode="External"/><Relationship Id="rId59" Type="http://schemas.openxmlformats.org/officeDocument/2006/relationships/hyperlink" Target="https://doi.org/10.1016/j.jacc.2024.10.101" TargetMode="External"/><Relationship Id="rId103" Type="http://schemas.openxmlformats.org/officeDocument/2006/relationships/hyperlink" Target="https://pubmed.ncbi.nlm.nih.gov/32586585" TargetMode="External"/><Relationship Id="rId108" Type="http://schemas.openxmlformats.org/officeDocument/2006/relationships/hyperlink" Target="https://doi.org/10.1016/j.ahj.2022.05.001" TargetMode="External"/><Relationship Id="rId124" Type="http://schemas.openxmlformats.org/officeDocument/2006/relationships/hyperlink" Target="https://doi.org/10.1016/j.jcin.2021.07.031" TargetMode="External"/><Relationship Id="rId129" Type="http://schemas.openxmlformats.org/officeDocument/2006/relationships/hyperlink" Target="https://doi.org/10.1016/j.amjcard.2017.03.253" TargetMode="External"/><Relationship Id="rId54" Type="http://schemas.openxmlformats.org/officeDocument/2006/relationships/hyperlink" Target="https://pubmed.ncbi.nlm.nih.gov/23339815" TargetMode="External"/><Relationship Id="rId70" Type="http://schemas.openxmlformats.org/officeDocument/2006/relationships/hyperlink" Target="https://pubmed.ncbi.nlm.nih.gov/40602941" TargetMode="External"/><Relationship Id="rId75" Type="http://schemas.openxmlformats.org/officeDocument/2006/relationships/hyperlink" Target="https://pubmed.ncbi.nlm.nih.gov/23062528" TargetMode="External"/><Relationship Id="rId91" Type="http://schemas.openxmlformats.org/officeDocument/2006/relationships/hyperlink" Target="https://pubmed.ncbi.nlm.nih.gov/21870978" TargetMode="External"/><Relationship Id="rId96" Type="http://schemas.openxmlformats.org/officeDocument/2006/relationships/hyperlink" Target="https://doi.org/10.1016/j.hrthm.2017.05.038" TargetMode="External"/><Relationship Id="rId140" Type="http://schemas.openxmlformats.org/officeDocument/2006/relationships/hyperlink" Target="https://pubmed.ncbi.nlm.nih.gov/32999093" TargetMode="External"/><Relationship Id="rId145" Type="http://schemas.openxmlformats.org/officeDocument/2006/relationships/hyperlink" Target="https://doi.org/10.1016/j.jacasi.2024.10.022" TargetMode="External"/><Relationship Id="rId161" Type="http://schemas.openxmlformats.org/officeDocument/2006/relationships/hyperlink" Target="https://doi.org/10.1016/j.jcin.2013.02.014" TargetMode="External"/><Relationship Id="rId166" Type="http://schemas.openxmlformats.org/officeDocument/2006/relationships/hyperlink" Target="https://pubmed.ncbi.nlm.nih.gov/31103535" TargetMode="External"/><Relationship Id="rId182" Type="http://schemas.openxmlformats.org/officeDocument/2006/relationships/hyperlink" Target="https://pubmed.ncbi.nlm.nih.gov/34219662" TargetMode="External"/><Relationship Id="rId187" Type="http://schemas.openxmlformats.org/officeDocument/2006/relationships/hyperlink" Target="https://doi.org/10.1016/j.jcin.2023.04.028"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doi.org/10.1067/mhj.2003.44" TargetMode="External"/><Relationship Id="rId28" Type="http://schemas.openxmlformats.org/officeDocument/2006/relationships/hyperlink" Target="https://pubmed.ncbi.nlm.nih.gov/15992628" TargetMode="External"/><Relationship Id="rId49" Type="http://schemas.openxmlformats.org/officeDocument/2006/relationships/hyperlink" Target="https://pubmed.ncbi.nlm.nih.gov/39056187" TargetMode="External"/><Relationship Id="rId114" Type="http://schemas.openxmlformats.org/officeDocument/2006/relationships/hyperlink" Target="https://doi.org/10.1093/eurheartj/ehac515" TargetMode="External"/><Relationship Id="rId119" Type="http://schemas.openxmlformats.org/officeDocument/2006/relationships/hyperlink" Target="https://pubmed.ncbi.nlm.nih.gov/37611779" TargetMode="External"/><Relationship Id="rId44" Type="http://schemas.openxmlformats.org/officeDocument/2006/relationships/hyperlink" Target="https://doi.org/10.1016/j.jacep.2022.03.001" TargetMode="External"/><Relationship Id="rId60" Type="http://schemas.openxmlformats.org/officeDocument/2006/relationships/hyperlink" Target="https://pubmed.ncbi.nlm.nih.gov/39570242" TargetMode="External"/><Relationship Id="rId65" Type="http://schemas.openxmlformats.org/officeDocument/2006/relationships/hyperlink" Target="https://doi.org/10.1016/j.jcin.2020.10.034" TargetMode="External"/><Relationship Id="rId81" Type="http://schemas.openxmlformats.org/officeDocument/2006/relationships/hyperlink" Target="https://pubmed.ncbi.nlm.nih.gov/23583249" TargetMode="External"/><Relationship Id="rId86" Type="http://schemas.openxmlformats.org/officeDocument/2006/relationships/hyperlink" Target="https://doi.org/10.1056/NEJMoa0905561" TargetMode="External"/><Relationship Id="rId130" Type="http://schemas.openxmlformats.org/officeDocument/2006/relationships/hyperlink" Target="https://pubmed.ncbi.nlm.nih.gov/28495432" TargetMode="External"/><Relationship Id="rId135" Type="http://schemas.openxmlformats.org/officeDocument/2006/relationships/hyperlink" Target="https://doi.org/10.1001/jamacardio.2024.2335" TargetMode="External"/><Relationship Id="rId151" Type="http://schemas.openxmlformats.org/officeDocument/2006/relationships/hyperlink" Target="https://doi.org/10.1681/ASN.2020111566" TargetMode="External"/><Relationship Id="rId156" Type="http://schemas.openxmlformats.org/officeDocument/2006/relationships/hyperlink" Target="https://pubmed.ncbi.nlm.nih.gov/30573129" TargetMode="External"/><Relationship Id="rId177" Type="http://schemas.openxmlformats.org/officeDocument/2006/relationships/hyperlink" Target="https://doi.org/10.1016/j.hrthm.2021.01.030" TargetMode="External"/><Relationship Id="rId198" Type="http://schemas.openxmlformats.org/officeDocument/2006/relationships/fontTable" Target="fontTable.xml"/><Relationship Id="rId172" Type="http://schemas.openxmlformats.org/officeDocument/2006/relationships/hyperlink" Target="https://pubmed.ncbi.nlm.nih.gov/36357016" TargetMode="External"/><Relationship Id="rId193" Type="http://schemas.openxmlformats.org/officeDocument/2006/relationships/hyperlink" Target="https://doi.org/10.1111/jce.13141" TargetMode="External"/><Relationship Id="rId13" Type="http://schemas.openxmlformats.org/officeDocument/2006/relationships/hyperlink" Target="https://pubmed.ncbi.nlm.nih.gov/39210723" TargetMode="External"/><Relationship Id="rId18" Type="http://schemas.openxmlformats.org/officeDocument/2006/relationships/hyperlink" Target="https://pubmed.ncbi.nlm.nih.gov/18152330" TargetMode="External"/><Relationship Id="rId39" Type="http://schemas.openxmlformats.org/officeDocument/2006/relationships/hyperlink" Target="https://pubmed.ncbi.nlm.nih.gov/33820423" TargetMode="External"/><Relationship Id="rId109" Type="http://schemas.openxmlformats.org/officeDocument/2006/relationships/hyperlink" Target="https://pubmed.ncbi.nlm.nih.gov/3553750" TargetMode="External"/><Relationship Id="rId34" Type="http://schemas.openxmlformats.org/officeDocument/2006/relationships/hyperlink" Target="https://pubmed.ncbi.nlm.nih.gov/19683639" TargetMode="External"/><Relationship Id="rId50" Type="http://schemas.openxmlformats.org/officeDocument/2006/relationships/hyperlink" Target="https://doi.org/10.1016/j.hrthm.2025.03.666" TargetMode="External"/><Relationship Id="rId55" Type="http://schemas.openxmlformats.org/officeDocument/2006/relationships/hyperlink" Target="https://doi.org/10.4244/EIJ-D-18-00344" TargetMode="External"/><Relationship Id="rId76" Type="http://schemas.openxmlformats.org/officeDocument/2006/relationships/hyperlink" Target="https://doi.org/10.1161/CIRCULATIONAHA.110.976449" TargetMode="External"/><Relationship Id="rId97" Type="http://schemas.openxmlformats.org/officeDocument/2006/relationships/hyperlink" Target="https://pubmed.ncbi.nlm.nih.gov/28577840" TargetMode="External"/><Relationship Id="rId104" Type="http://schemas.openxmlformats.org/officeDocument/2006/relationships/hyperlink" Target="https://doi.org/10.1016/j.jacc.2021.10.023" TargetMode="External"/><Relationship Id="rId120" Type="http://schemas.openxmlformats.org/officeDocument/2006/relationships/hyperlink" Target="https://doi.org/10.1093/eurheartj/ehaa169" TargetMode="External"/><Relationship Id="rId125" Type="http://schemas.openxmlformats.org/officeDocument/2006/relationships/hyperlink" Target="https://pubmed.ncbi.nlm.nih.gov/34656496" TargetMode="External"/><Relationship Id="rId141" Type="http://schemas.openxmlformats.org/officeDocument/2006/relationships/hyperlink" Target="https://doi.org/10.4244/EIJ-D-16-00726" TargetMode="External"/><Relationship Id="rId146" Type="http://schemas.openxmlformats.org/officeDocument/2006/relationships/hyperlink" Target="https://pubmed.ncbi.nlm.nih.gov/39896245" TargetMode="External"/><Relationship Id="rId167" Type="http://schemas.openxmlformats.org/officeDocument/2006/relationships/hyperlink" Target="https://doi.org/10.1016/j.jacc.2011.11.028" TargetMode="External"/><Relationship Id="rId188" Type="http://schemas.openxmlformats.org/officeDocument/2006/relationships/hyperlink" Target="https://pubmed.ncbi.nlm.nih.gov/37294221" TargetMode="External"/><Relationship Id="rId7" Type="http://schemas.openxmlformats.org/officeDocument/2006/relationships/hyperlink" Target="mailto:zitoelio95@gmail.com" TargetMode="External"/><Relationship Id="rId71" Type="http://schemas.openxmlformats.org/officeDocument/2006/relationships/hyperlink" Target="https://doi.org/10.1093/europace/euaa004" TargetMode="External"/><Relationship Id="rId92" Type="http://schemas.openxmlformats.org/officeDocument/2006/relationships/hyperlink" Target="https://doi.org/10.1093/europace/euab065" TargetMode="External"/><Relationship Id="rId162" Type="http://schemas.openxmlformats.org/officeDocument/2006/relationships/hyperlink" Target="https://pubmed.ncbi.nlm.nih.gov/23787233" TargetMode="External"/><Relationship Id="rId183" Type="http://schemas.openxmlformats.org/officeDocument/2006/relationships/hyperlink" Target="https://doi.org/10.1016/j.jscai.2022.100555" TargetMode="External"/><Relationship Id="rId2" Type="http://schemas.openxmlformats.org/officeDocument/2006/relationships/styles" Target="styles.xml"/><Relationship Id="rId29" Type="http://schemas.openxmlformats.org/officeDocument/2006/relationships/hyperlink" Target="https://doi.org/10.1016/j.jacc.2007.02.035" TargetMode="External"/><Relationship Id="rId24" Type="http://schemas.openxmlformats.org/officeDocument/2006/relationships/hyperlink" Target="https://pubmed.ncbi.nlm.nih.gov/12514671" TargetMode="External"/><Relationship Id="rId40" Type="http://schemas.openxmlformats.org/officeDocument/2006/relationships/hyperlink" Target="https://doi.org/10.1016/j.jcin.2020.06.056" TargetMode="External"/><Relationship Id="rId45" Type="http://schemas.openxmlformats.org/officeDocument/2006/relationships/hyperlink" Target="https://pubmed.ncbi.nlm.nih.gov/35387751" TargetMode="External"/><Relationship Id="rId66" Type="http://schemas.openxmlformats.org/officeDocument/2006/relationships/hyperlink" Target="https://pubmed.ncbi.nlm.nih.gov/33413869" TargetMode="External"/><Relationship Id="rId87" Type="http://schemas.openxmlformats.org/officeDocument/2006/relationships/hyperlink" Target="https://pubmed.ncbi.nlm.nih.gov/19717844" TargetMode="External"/><Relationship Id="rId110" Type="http://schemas.openxmlformats.org/officeDocument/2006/relationships/hyperlink" Target="https://doi.org/10.1016/j.ahj.2023.05.022" TargetMode="External"/><Relationship Id="rId115" Type="http://schemas.openxmlformats.org/officeDocument/2006/relationships/hyperlink" Target="https://pubmed.ncbi.nlm.nih.gov/36477865" TargetMode="External"/><Relationship Id="rId131" Type="http://schemas.openxmlformats.org/officeDocument/2006/relationships/hyperlink" Target="https://doi.org/10.1016/j.jcin.2018.05.023" TargetMode="External"/><Relationship Id="rId136" Type="http://schemas.openxmlformats.org/officeDocument/2006/relationships/hyperlink" Target="https://pubmed.ncbi.nlm.nih.gov/39110427" TargetMode="External"/><Relationship Id="rId157" Type="http://schemas.openxmlformats.org/officeDocument/2006/relationships/hyperlink" Target="https://doi.org/10.1016/j.jcin.2016.11.029" TargetMode="External"/><Relationship Id="rId178" Type="http://schemas.openxmlformats.org/officeDocument/2006/relationships/hyperlink" Target="https://pubmed.ncbi.nlm.nih.gov/33549807" TargetMode="External"/><Relationship Id="rId61" Type="http://schemas.openxmlformats.org/officeDocument/2006/relationships/hyperlink" Target="https://doi.org/10.1016/j.jcin.2022.09.002" TargetMode="External"/><Relationship Id="rId82" Type="http://schemas.openxmlformats.org/officeDocument/2006/relationships/hyperlink" Target="https://doi.org/10.1161/01.CIR.0000145172.55640.93" TargetMode="External"/><Relationship Id="rId152" Type="http://schemas.openxmlformats.org/officeDocument/2006/relationships/hyperlink" Target="https://pubmed.ncbi.nlm.nih.gov/33753537" TargetMode="External"/><Relationship Id="rId173" Type="http://schemas.openxmlformats.org/officeDocument/2006/relationships/hyperlink" Target="https://doi.org/10.1016/j.jcin.2022.12.006" TargetMode="External"/><Relationship Id="rId194" Type="http://schemas.openxmlformats.org/officeDocument/2006/relationships/hyperlink" Target="https://pubmed.ncbi.nlm.nih.gov/27925332" TargetMode="External"/><Relationship Id="rId199" Type="http://schemas.openxmlformats.org/officeDocument/2006/relationships/theme" Target="theme/theme1.xml"/><Relationship Id="rId19" Type="http://schemas.openxmlformats.org/officeDocument/2006/relationships/hyperlink" Target="https://doi.org/10.1016/s1010-7940(00)00419-x" TargetMode="External"/><Relationship Id="rId14" Type="http://schemas.openxmlformats.org/officeDocument/2006/relationships/hyperlink" Target="https://doi.org/10.1161/CIR.0000000000001193" TargetMode="External"/><Relationship Id="rId30" Type="http://schemas.openxmlformats.org/officeDocument/2006/relationships/hyperlink" Target="https://pubmed.ncbi.nlm.nih.gov/17397680" TargetMode="External"/><Relationship Id="rId35" Type="http://schemas.openxmlformats.org/officeDocument/2006/relationships/hyperlink" Target="https://doi.org/10.1016/j.jacc.2019.09.064" TargetMode="External"/><Relationship Id="rId56" Type="http://schemas.openxmlformats.org/officeDocument/2006/relationships/hyperlink" Target="https://pubmed.ncbi.nlm.nih.gov/29806820" TargetMode="External"/><Relationship Id="rId77" Type="http://schemas.openxmlformats.org/officeDocument/2006/relationships/hyperlink" Target="https://pubmed.ncbi.nlm.nih.gov/21242484" TargetMode="External"/><Relationship Id="rId100" Type="http://schemas.openxmlformats.org/officeDocument/2006/relationships/hyperlink" Target="https://doi.org/10.1016/j.jacc.2019.12.040" TargetMode="External"/><Relationship Id="rId105" Type="http://schemas.openxmlformats.org/officeDocument/2006/relationships/hyperlink" Target="https://pubmed.ncbi.nlm.nih.gov/34748929" TargetMode="External"/><Relationship Id="rId126" Type="http://schemas.openxmlformats.org/officeDocument/2006/relationships/hyperlink" Target="https://doi.org/10.1161/STROKEAHA.118.023093" TargetMode="External"/><Relationship Id="rId147" Type="http://schemas.openxmlformats.org/officeDocument/2006/relationships/hyperlink" Target="https://doi.org/10.1161/CIRCULATIONAHA.122.062779" TargetMode="External"/><Relationship Id="rId168" Type="http://schemas.openxmlformats.org/officeDocument/2006/relationships/hyperlink" Target="https://pubmed.ncbi.nlm.nih.gov/22381428" TargetMode="External"/><Relationship Id="rId8" Type="http://schemas.openxmlformats.org/officeDocument/2006/relationships/hyperlink" Target="https://doi.org/10.1161/JAHA.123.030438" TargetMode="External"/><Relationship Id="rId51" Type="http://schemas.openxmlformats.org/officeDocument/2006/relationships/hyperlink" Target="https://doi.org/10.4244/EIJY15M01_06" TargetMode="External"/><Relationship Id="rId72" Type="http://schemas.openxmlformats.org/officeDocument/2006/relationships/hyperlink" Target="https://doi.org/10.1001/jama.2024.3026" TargetMode="External"/><Relationship Id="rId93" Type="http://schemas.openxmlformats.org/officeDocument/2006/relationships/hyperlink" Target="https://pubmed.ncbi.nlm.nih.gov/33895845" TargetMode="External"/><Relationship Id="rId98" Type="http://schemas.openxmlformats.org/officeDocument/2006/relationships/hyperlink" Target="https://doi.org/10.1016/j.jcin.2020.11.029" TargetMode="External"/><Relationship Id="rId121" Type="http://schemas.openxmlformats.org/officeDocument/2006/relationships/hyperlink" Target="https://pubmed.ncbi.nlm.nih.gov/32243499" TargetMode="External"/><Relationship Id="rId142" Type="http://schemas.openxmlformats.org/officeDocument/2006/relationships/hyperlink" Target="https://pubmed.ncbi.nlm.nih.gov/27973336" TargetMode="External"/><Relationship Id="rId163" Type="http://schemas.openxmlformats.org/officeDocument/2006/relationships/hyperlink" Target="https://doi.org/10.1016/j.pcad.2025.09.003" TargetMode="External"/><Relationship Id="rId184" Type="http://schemas.openxmlformats.org/officeDocument/2006/relationships/hyperlink" Target="https://pubmed.ncbi.nlm.nih.gov/39129799" TargetMode="External"/><Relationship Id="rId189" Type="http://schemas.openxmlformats.org/officeDocument/2006/relationships/hyperlink" Target="https://doi.org/10.1111/jce.13385" TargetMode="External"/><Relationship Id="rId3" Type="http://schemas.openxmlformats.org/officeDocument/2006/relationships/settings" Target="settings.xml"/><Relationship Id="rId25" Type="http://schemas.openxmlformats.org/officeDocument/2006/relationships/hyperlink" Target="https://doi.org/10.1056/NEJMoa2101897" TargetMode="External"/><Relationship Id="rId46" Type="http://schemas.openxmlformats.org/officeDocument/2006/relationships/hyperlink" Target="https://doi.org/10.1161/CIRCULATIONAHA.118.035090" TargetMode="External"/><Relationship Id="rId67" Type="http://schemas.openxmlformats.org/officeDocument/2006/relationships/hyperlink" Target="https://doi.org/10.1161/CIRCULATIONAHA.123.067599" TargetMode="External"/><Relationship Id="rId116" Type="http://schemas.openxmlformats.org/officeDocument/2006/relationships/hyperlink" Target="https://doi.org/10.1161/CIRCULATIONAHA.118.036248" TargetMode="External"/><Relationship Id="rId137" Type="http://schemas.openxmlformats.org/officeDocument/2006/relationships/hyperlink" Target="https://doi.org/10.1161/CIRCULATIONAHA.125.077469" TargetMode="External"/><Relationship Id="rId158" Type="http://schemas.openxmlformats.org/officeDocument/2006/relationships/hyperlink" Target="https://pubmed.ncbi.nlm.nih.gov/28231907" TargetMode="External"/><Relationship Id="rId20" Type="http://schemas.openxmlformats.org/officeDocument/2006/relationships/hyperlink" Target="https://pubmed.ncbi.nlm.nih.gov/10856866" TargetMode="External"/><Relationship Id="rId41" Type="http://schemas.openxmlformats.org/officeDocument/2006/relationships/hyperlink" Target="https://pubmed.ncbi.nlm.nih.gov/33189641" TargetMode="External"/><Relationship Id="rId62" Type="http://schemas.openxmlformats.org/officeDocument/2006/relationships/hyperlink" Target="https://pubmed.ncbi.nlm.nih.gov/36357014" TargetMode="External"/><Relationship Id="rId83" Type="http://schemas.openxmlformats.org/officeDocument/2006/relationships/hyperlink" Target="https://pubmed.ncbi.nlm.nih.gov/15477396" TargetMode="External"/><Relationship Id="rId88" Type="http://schemas.openxmlformats.org/officeDocument/2006/relationships/hyperlink" Target="https://doi.org/10.1056/NEJMoa1009638" TargetMode="External"/><Relationship Id="rId111" Type="http://schemas.openxmlformats.org/officeDocument/2006/relationships/hyperlink" Target="https://pubmed.ncbi.nlm.nih.gov/37279840" TargetMode="External"/><Relationship Id="rId132" Type="http://schemas.openxmlformats.org/officeDocument/2006/relationships/hyperlink" Target="https://pubmed.ncbi.nlm.nih.gov/30249439" TargetMode="External"/><Relationship Id="rId153" Type="http://schemas.openxmlformats.org/officeDocument/2006/relationships/hyperlink" Target="https://doi.org/10.1093/eurheartj/ehy060" TargetMode="External"/><Relationship Id="rId174" Type="http://schemas.openxmlformats.org/officeDocument/2006/relationships/hyperlink" Target="https://pubmed.ncbi.nlm.nih.gov/36990553" TargetMode="External"/><Relationship Id="rId179" Type="http://schemas.openxmlformats.org/officeDocument/2006/relationships/hyperlink" Target="https://doi.org/10.1016/j.jacep.2021.06.002" TargetMode="External"/><Relationship Id="rId195" Type="http://schemas.openxmlformats.org/officeDocument/2006/relationships/hyperlink" Target="https://doi.org/10.1038/s41598-021-82359-1" TargetMode="External"/><Relationship Id="rId190" Type="http://schemas.openxmlformats.org/officeDocument/2006/relationships/hyperlink" Target="https://pubmed.ncbi.nlm.nih.gov/29149516" TargetMode="External"/><Relationship Id="rId15" Type="http://schemas.openxmlformats.org/officeDocument/2006/relationships/hyperlink" Target="https://pubmed.ncbi.nlm.nih.gov/38033089" TargetMode="External"/><Relationship Id="rId36" Type="http://schemas.openxmlformats.org/officeDocument/2006/relationships/hyperlink" Target="https://pubmed.ncbi.nlm.nih.gov/31806131" TargetMode="External"/><Relationship Id="rId57" Type="http://schemas.openxmlformats.org/officeDocument/2006/relationships/hyperlink" Target="https://doi.org/10.1161/CIRCULATIONAHA.121.057063" TargetMode="External"/><Relationship Id="rId106" Type="http://schemas.openxmlformats.org/officeDocument/2006/relationships/hyperlink" Target="https://doi.org/10.1056/NEJMoa2408308" TargetMode="External"/><Relationship Id="rId127" Type="http://schemas.openxmlformats.org/officeDocument/2006/relationships/hyperlink" Target="https://pubmed.ncbi.nlm.nih.gov/30580716" TargetMode="External"/><Relationship Id="rId10" Type="http://schemas.openxmlformats.org/officeDocument/2006/relationships/hyperlink" Target="https://doi.org/10.1016/0003-4975(95)00887-X" TargetMode="External"/><Relationship Id="rId31" Type="http://schemas.openxmlformats.org/officeDocument/2006/relationships/hyperlink" Target="https://doi.org/10.1161/01.cir.0000015698.54752.6d" TargetMode="External"/><Relationship Id="rId52" Type="http://schemas.openxmlformats.org/officeDocument/2006/relationships/hyperlink" Target="https://pubmed.ncbi.nlm.nih.gov/25604089" TargetMode="External"/><Relationship Id="rId73" Type="http://schemas.openxmlformats.org/officeDocument/2006/relationships/hyperlink" Target="https://pubmed.ncbi.nlm.nih.gov/38563835" TargetMode="External"/><Relationship Id="rId78" Type="http://schemas.openxmlformats.org/officeDocument/2006/relationships/hyperlink" Target="https://doi.org/10.1016/j.jacc.2017.10.021" TargetMode="External"/><Relationship Id="rId94" Type="http://schemas.openxmlformats.org/officeDocument/2006/relationships/hyperlink" Target="https://doi.org/10.4244/EIJY19M08_01" TargetMode="External"/><Relationship Id="rId99" Type="http://schemas.openxmlformats.org/officeDocument/2006/relationships/hyperlink" Target="https://pubmed.ncbi.nlm.nih.gov/33663783" TargetMode="External"/><Relationship Id="rId101" Type="http://schemas.openxmlformats.org/officeDocument/2006/relationships/hyperlink" Target="https://pubmed.ncbi.nlm.nih.gov/32238316" TargetMode="External"/><Relationship Id="rId122" Type="http://schemas.openxmlformats.org/officeDocument/2006/relationships/hyperlink" Target="https://doi.org/10.1016/j.jcin.2019.04.004" TargetMode="External"/><Relationship Id="rId143" Type="http://schemas.openxmlformats.org/officeDocument/2006/relationships/hyperlink" Target="https://doi.org/10.1016/j.jacc.2018.01.076" TargetMode="External"/><Relationship Id="rId148" Type="http://schemas.openxmlformats.org/officeDocument/2006/relationships/hyperlink" Target="https://pubmed.ncbi.nlm.nih.gov/36335915" TargetMode="External"/><Relationship Id="rId164" Type="http://schemas.openxmlformats.org/officeDocument/2006/relationships/hyperlink" Target="https://pubmed.ncbi.nlm.nih.gov/40930205" TargetMode="External"/><Relationship Id="rId169" Type="http://schemas.openxmlformats.org/officeDocument/2006/relationships/hyperlink" Target="https://doi.org/10.1016/j.jacep.2021.06.018" TargetMode="External"/><Relationship Id="rId185" Type="http://schemas.openxmlformats.org/officeDocument/2006/relationships/hyperlink" Target="https://doi.org/10.1016/j.jcin.2021.08.060" TargetMode="External"/><Relationship Id="rId4" Type="http://schemas.openxmlformats.org/officeDocument/2006/relationships/webSettings" Target="webSettings.xml"/><Relationship Id="rId9" Type="http://schemas.openxmlformats.org/officeDocument/2006/relationships/hyperlink" Target="https://pubmed.ncbi.nlm.nih.gov/37646216" TargetMode="External"/><Relationship Id="rId180" Type="http://schemas.openxmlformats.org/officeDocument/2006/relationships/hyperlink" Target="https://pubmed.ncbi.nlm.nih.gov/34330671" TargetMode="External"/><Relationship Id="rId26" Type="http://schemas.openxmlformats.org/officeDocument/2006/relationships/hyperlink" Target="https://pubmed.ncbi.nlm.nih.gov/33999547" TargetMode="External"/><Relationship Id="rId47" Type="http://schemas.openxmlformats.org/officeDocument/2006/relationships/hyperlink" Target="https://pubmed.ncbi.nlm.nih.gov/29752398" TargetMode="External"/><Relationship Id="rId68" Type="http://schemas.openxmlformats.org/officeDocument/2006/relationships/hyperlink" Target="https://pubmed.ncbi.nlm.nih.gov/37875064" TargetMode="External"/><Relationship Id="rId89" Type="http://schemas.openxmlformats.org/officeDocument/2006/relationships/hyperlink" Target="https://pubmed.ncbi.nlm.nih.gov/21830957" TargetMode="External"/><Relationship Id="rId112" Type="http://schemas.openxmlformats.org/officeDocument/2006/relationships/hyperlink" Target="https://doi.org/10.1016/j.jcin.2010.04.017" TargetMode="External"/><Relationship Id="rId133" Type="http://schemas.openxmlformats.org/officeDocument/2006/relationships/hyperlink" Target="https://doi.org/10.1161/CIRCINTERVENTIONS.119.008481" TargetMode="External"/><Relationship Id="rId154" Type="http://schemas.openxmlformats.org/officeDocument/2006/relationships/hyperlink" Target="https://pubmed.ncbi.nlm.nih.gov/29522134" TargetMode="External"/><Relationship Id="rId175" Type="http://schemas.openxmlformats.org/officeDocument/2006/relationships/hyperlink" Target="https://doi.org/10.1002/ccd.30139" TargetMode="External"/></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Tema di Office">
      <a:majorFont>
        <a:latin typeface="Times New Roman"/>
        <a:ea typeface="Times New Roman"/>
        <a:cs typeface="Times New Roman"/>
      </a:majorFont>
      <a:minorFont>
        <a:latin typeface="Times New Roman"/>
        <a:ea typeface="Times New Roman"/>
        <a:cs typeface="Times New Roman"/>
      </a:minorFont>
    </a:fontScheme>
    <a:fmtScheme name="Tema di 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solidFill>
          <a:srgbClr val="FFFFFF"/>
        </a:solidFill>
        <a:ln w="12700" cap="flat">
          <a:solidFill>
            <a:schemeClr val="accent1"/>
          </a:solidFill>
          <a:prstDash val="solid"/>
          <a:miter lim="800000"/>
        </a:ln>
        <a:effectLst/>
      </a:spPr>
      <a:bodyPr/>
      <a:lstStyle/>
      <a:style>
        <a:lnRef idx="0">
          <a:srgbClr val="000000"/>
        </a:lnRef>
        <a:fillRef idx="0">
          <a:srgbClr val="000000"/>
        </a:fillRef>
        <a:effectRef idx="0">
          <a:srgbClr val="000000"/>
        </a:effectRef>
        <a:fontRef idx="none"/>
      </a:style>
    </a:spDef>
    <a:lnDef>
      <a:spPr bwMode="auto">
        <a:prstGeom prst="rect">
          <a:avLst/>
        </a:prstGeom>
        <a:noFill/>
        <a:ln w="12700" cap="flat">
          <a:solidFill>
            <a:schemeClr val="accent1"/>
          </a:solidFill>
          <a:prstDash val="solid"/>
          <a:miter lim="800000"/>
        </a:ln>
        <a:effectLst/>
      </a:spPr>
      <a:bodyPr/>
      <a:lstStyle/>
      <a:style>
        <a:lnRef idx="0">
          <a:srgbClr val="000000"/>
        </a:lnRef>
        <a:fillRef idx="0">
          <a:srgbClr val="000000"/>
        </a:fillRef>
        <a:effectRef idx="0">
          <a:srgbClr val="000000"/>
        </a:effectRef>
        <a:fontRef idx="none"/>
      </a:style>
    </a:lnDef>
    <a:txDef>
      <a:spPr bwMode="auto">
        <a:prstGeom prst="rect">
          <a:avLst/>
        </a:prstGeom>
        <a:noFill/>
        <a:ln w="12700" cap="flat">
          <a:noFill/>
          <a:miter lim="400000"/>
        </a:ln>
        <a:effectLst/>
      </a:spPr>
      <a:bodyPr/>
      <a:lstStyle/>
      <a:style>
        <a:lnRef idx="0">
          <a:srgbClr val="000000"/>
        </a:lnRef>
        <a:fillRef idx="0">
          <a:srgbClr val="000000"/>
        </a:fillRef>
        <a:effectRef idx="0">
          <a:srgbClr val="00000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366</TotalTime>
  <Pages>28</Pages>
  <Words>22577</Words>
  <Characters>128692</Characters>
  <Application>Microsoft Office Word</Application>
  <DocSecurity>0</DocSecurity>
  <Lines>1072</Lines>
  <Paragraphs>301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HCA Healthcare</Company>
  <LinksUpToDate>false</LinksUpToDate>
  <CharactersWithSpaces>150968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Author</cp:lastModifiedBy>
  <cp:revision>274</cp:revision>
  <dcterms:created xsi:type="dcterms:W3CDTF">2026-03-02T18:23:00Z</dcterms:created>
  <dcterms:modified xsi:type="dcterms:W3CDTF">2026-05-13T05:17:00Z</dcterms:modified>
</cp:coreProperties>
</file>