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A73E1" w14:textId="77777777" w:rsidR="00A34650" w:rsidRDefault="00000000">
      <w:pPr>
        <w:pStyle w:val="Body"/>
        <w:spacing w:before="240" w:after="240" w:line="480" w:lineRule="auto"/>
      </w:pPr>
      <w:r>
        <w:rPr>
          <w:b/>
          <w:bCs/>
        </w:rPr>
        <w:t>Abstract.</w:t>
      </w:r>
      <w:r>
        <w:rPr>
          <w:b/>
          <w:bCs/>
        </w:rPr>
        <w:br/>
      </w:r>
      <w:r>
        <w:rPr>
          <w:b/>
          <w:bCs/>
          <w:lang w:val="en-US"/>
        </w:rPr>
        <w:t>Background.</w:t>
      </w:r>
      <w:r>
        <w:br/>
      </w:r>
      <w:r>
        <w:rPr>
          <w:lang w:val="en-US"/>
        </w:rPr>
        <w:t xml:space="preserve">Ventricular </w:t>
      </w:r>
      <w:proofErr w:type="gramStart"/>
      <w:r>
        <w:rPr>
          <w:lang w:val="en-US"/>
        </w:rPr>
        <w:t>tachycardia(</w:t>
      </w:r>
      <w:proofErr w:type="gramEnd"/>
      <w:r>
        <w:rPr>
          <w:lang w:val="en-US"/>
        </w:rPr>
        <w:t>VT) is a fatal arrhythmia, often managed with implantable cardioverter-</w:t>
      </w:r>
      <w:proofErr w:type="gramStart"/>
      <w:r>
        <w:rPr>
          <w:lang w:val="en-US"/>
        </w:rPr>
        <w:t>defibrillators(</w:t>
      </w:r>
      <w:proofErr w:type="gramEnd"/>
      <w:r>
        <w:rPr>
          <w:lang w:val="en-US"/>
        </w:rPr>
        <w:t>ICDs). Many patients, however, present without an ICD. The role of catheter ablation in this high-risk group is unclear, particularly for short-term in-hospital outcomes. We assessed associations between ablation and in-hospital outcomes among ICD-</w:t>
      </w:r>
      <w:proofErr w:type="spellStart"/>
      <w:r>
        <w:rPr>
          <w:lang w:val="en-US"/>
        </w:rPr>
        <w:t>na</w:t>
      </w:r>
      <w:proofErr w:type="spellEnd"/>
      <w:r>
        <w:rPr>
          <w:lang w:val="nl-NL"/>
        </w:rPr>
        <w:t>ï</w:t>
      </w:r>
      <w:proofErr w:type="spellStart"/>
      <w:r>
        <w:rPr>
          <w:lang w:val="en-US"/>
        </w:rPr>
        <w:t>ve</w:t>
      </w:r>
      <w:proofErr w:type="spellEnd"/>
      <w:r>
        <w:rPr>
          <w:lang w:val="en-US"/>
        </w:rPr>
        <w:t xml:space="preserve"> VT patients using a large national dataset.</w:t>
      </w:r>
      <w:r>
        <w:br/>
      </w:r>
      <w:r>
        <w:rPr>
          <w:b/>
          <w:bCs/>
        </w:rPr>
        <w:t>Methods.</w:t>
      </w:r>
      <w:r>
        <w:rPr>
          <w:b/>
          <w:bCs/>
        </w:rPr>
        <w:br/>
      </w:r>
      <w:r>
        <w:rPr>
          <w:lang w:val="en-US"/>
        </w:rPr>
        <w:t xml:space="preserve">We conducted a retrospective study using the National Inpatient Sample (2016–2021), identifying adult hospitalizations with ventricular </w:t>
      </w:r>
      <w:proofErr w:type="gramStart"/>
      <w:r>
        <w:rPr>
          <w:lang w:val="en-US"/>
        </w:rPr>
        <w:t>tachycardia(</w:t>
      </w:r>
      <w:proofErr w:type="gramEnd"/>
      <w:r>
        <w:rPr>
          <w:lang w:val="en-US"/>
        </w:rPr>
        <w:t xml:space="preserve">VT). Patients with prior ICDs or ICD implantation during the same admission were excluded. The cohort was divided into those who underwent catheter ablation versus those managed without ablation. Multivariable logistic regression and 1:1 propensity score </w:t>
      </w:r>
      <w:proofErr w:type="gramStart"/>
      <w:r>
        <w:rPr>
          <w:lang w:val="en-US"/>
        </w:rPr>
        <w:t>matching(</w:t>
      </w:r>
      <w:proofErr w:type="gramEnd"/>
      <w:r>
        <w:rPr>
          <w:lang w:val="en-US"/>
        </w:rPr>
        <w:t xml:space="preserve">PSM) adjusted for demographic, clinical, and hospital factors. The primary outcome was in-hospital mortality; secondary outcomes included STEMI, sepsis, major adverse cardiac </w:t>
      </w:r>
      <w:proofErr w:type="gramStart"/>
      <w:r>
        <w:rPr>
          <w:lang w:val="en-US"/>
        </w:rPr>
        <w:t>events(</w:t>
      </w:r>
      <w:proofErr w:type="gramEnd"/>
      <w:r>
        <w:rPr>
          <w:lang w:val="en-US"/>
        </w:rPr>
        <w:t xml:space="preserve">MACE: death, STEMI, or cardiogenic shock), cardiogenic shock, tamponade, mechanical circulatory </w:t>
      </w:r>
      <w:proofErr w:type="gramStart"/>
      <w:r>
        <w:rPr>
          <w:lang w:val="en-US"/>
        </w:rPr>
        <w:t>support(</w:t>
      </w:r>
      <w:proofErr w:type="gramEnd"/>
      <w:r>
        <w:rPr>
          <w:lang w:val="en-US"/>
        </w:rPr>
        <w:t xml:space="preserve">MCS), acute heart failure, and prolonged </w:t>
      </w:r>
      <w:proofErr w:type="gramStart"/>
      <w:r>
        <w:rPr>
          <w:lang w:val="en-US"/>
        </w:rPr>
        <w:t>hospitalization(</w:t>
      </w:r>
      <w:proofErr w:type="gramEnd"/>
      <w:r>
        <w:rPr>
          <w:lang w:val="en-US"/>
        </w:rPr>
        <w:t>≥7 days).</w:t>
      </w:r>
      <w:r>
        <w:br/>
      </w:r>
      <w:r>
        <w:rPr>
          <w:b/>
          <w:bCs/>
          <w:lang w:val="en-US"/>
        </w:rPr>
        <w:t>Results.</w:t>
      </w:r>
      <w:r>
        <w:rPr>
          <w:b/>
          <w:bCs/>
        </w:rPr>
        <w:br/>
      </w:r>
      <w:r>
        <w:rPr>
          <w:lang w:val="en-US"/>
        </w:rPr>
        <w:t xml:space="preserve">Of 2,214,424 VT hospitalizations, 32,640(1.5%) underwent catheter ablation. After </w:t>
      </w:r>
      <w:proofErr w:type="gramStart"/>
      <w:r>
        <w:rPr>
          <w:lang w:val="en-US"/>
        </w:rPr>
        <w:t>PSM(</w:t>
      </w:r>
      <w:proofErr w:type="gramEnd"/>
      <w:r>
        <w:rPr>
          <w:lang w:val="en-US"/>
        </w:rPr>
        <w:t xml:space="preserve">n = 12,668), ablation was associated with significantly lower in-hospital </w:t>
      </w:r>
      <w:proofErr w:type="gramStart"/>
      <w:r>
        <w:rPr>
          <w:lang w:val="en-US"/>
        </w:rPr>
        <w:t>mortality(</w:t>
      </w:r>
      <w:proofErr w:type="gramEnd"/>
      <w:r>
        <w:rPr>
          <w:lang w:val="en-US"/>
        </w:rPr>
        <w:t xml:space="preserve">3.17% vs. 8.98%; p&lt;0.001), STEMI (6.82% vs. 18.83%; p&lt;0.001), sepsis (3.38% vs. 10.34%; p&lt;0.001), and </w:t>
      </w:r>
      <w:proofErr w:type="gramStart"/>
      <w:r>
        <w:rPr>
          <w:lang w:val="en-US"/>
        </w:rPr>
        <w:t>MACE(</w:t>
      </w:r>
      <w:proofErr w:type="gramEnd"/>
      <w:r>
        <w:rPr>
          <w:lang w:val="en-US"/>
        </w:rPr>
        <w:t xml:space="preserve">15.82% vs. 28.40%; p&lt;0.001). However, ablation was associated with higher rates of cardiac </w:t>
      </w:r>
      <w:proofErr w:type="gramStart"/>
      <w:r>
        <w:rPr>
          <w:lang w:val="en-US"/>
        </w:rPr>
        <w:t>tamponade(</w:t>
      </w:r>
      <w:proofErr w:type="gramEnd"/>
      <w:r>
        <w:rPr>
          <w:lang w:val="en-US"/>
        </w:rPr>
        <w:t xml:space="preserve">1.78% vs. 0.43%; p&lt;0.001), cardiogenic </w:t>
      </w:r>
      <w:proofErr w:type="gramStart"/>
      <w:r>
        <w:rPr>
          <w:lang w:val="en-US"/>
        </w:rPr>
        <w:t>shock(</w:t>
      </w:r>
      <w:proofErr w:type="gramEnd"/>
      <w:r>
        <w:rPr>
          <w:lang w:val="en-US"/>
        </w:rPr>
        <w:t xml:space="preserve">9.14% vs. 7.12%; p&lt;0.001), </w:t>
      </w:r>
      <w:r>
        <w:rPr>
          <w:lang w:val="en-US"/>
        </w:rPr>
        <w:lastRenderedPageBreak/>
        <w:t xml:space="preserve">and MCS </w:t>
      </w:r>
      <w:proofErr w:type="gramStart"/>
      <w:r>
        <w:rPr>
          <w:lang w:val="en-US"/>
        </w:rPr>
        <w:t>use(</w:t>
      </w:r>
      <w:proofErr w:type="gramEnd"/>
      <w:r>
        <w:rPr>
          <w:lang w:val="en-US"/>
        </w:rPr>
        <w:t>5.04% vs. 3.71%; p&lt;0.001). Acute heart failure or prolonged hospitalization were comparable.</w:t>
      </w:r>
      <w:r>
        <w:br/>
      </w:r>
      <w:r>
        <w:rPr>
          <w:b/>
          <w:bCs/>
          <w:lang w:val="it-IT"/>
        </w:rPr>
        <w:t>Conclusion.</w:t>
      </w:r>
      <w:r>
        <w:rPr>
          <w:b/>
          <w:bCs/>
        </w:rPr>
        <w:br/>
      </w:r>
      <w:r>
        <w:t>In ICD-na</w:t>
      </w:r>
      <w:r>
        <w:rPr>
          <w:lang w:val="nl-NL"/>
        </w:rPr>
        <w:t>ï</w:t>
      </w:r>
      <w:proofErr w:type="spellStart"/>
      <w:r>
        <w:rPr>
          <w:lang w:val="en-US"/>
        </w:rPr>
        <w:t>ve</w:t>
      </w:r>
      <w:proofErr w:type="spellEnd"/>
      <w:r>
        <w:rPr>
          <w:lang w:val="en-US"/>
        </w:rPr>
        <w:t xml:space="preserve"> VT patients, catheter ablation was associated with improved in-hospital survival and fewer complications, albeit with higher procedural risks.</w:t>
      </w:r>
      <w:r>
        <w:br/>
      </w:r>
      <w:r>
        <w:rPr>
          <w:b/>
          <w:bCs/>
          <w:lang w:val="en-US"/>
        </w:rPr>
        <w:t>Keywords.</w:t>
      </w:r>
      <w:r>
        <w:br/>
      </w:r>
      <w:r>
        <w:rPr>
          <w:lang w:val="en-US"/>
        </w:rPr>
        <w:t>Ventricular tachycardia, Catheter ablation, Propensity score matching.</w:t>
      </w:r>
    </w:p>
    <w:p w14:paraId="3D2C324A" w14:textId="77777777" w:rsidR="00A34650" w:rsidRDefault="00A34650">
      <w:pPr>
        <w:pStyle w:val="Body"/>
        <w:spacing w:before="240" w:after="240" w:line="480" w:lineRule="auto"/>
      </w:pPr>
    </w:p>
    <w:p w14:paraId="63921985" w14:textId="77777777" w:rsidR="00A34650" w:rsidRDefault="00000000">
      <w:pPr>
        <w:pStyle w:val="Body"/>
        <w:widowControl w:val="0"/>
        <w:spacing w:after="120" w:line="480" w:lineRule="auto"/>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lang w:val="fr-FR"/>
        </w:rPr>
        <w:lastRenderedPageBreak/>
        <w:t>1.0. Introduction.</w:t>
      </w:r>
      <w:r>
        <w:rPr>
          <w:b/>
          <w:bCs/>
        </w:rPr>
        <w:br/>
      </w:r>
      <w:r>
        <w:rPr>
          <w:lang w:val="en-US"/>
        </w:rPr>
        <w:t xml:space="preserve">Ventricular tachycardia (VT) is a life-threatening arrhythmia often manifested in patients with structural heart diseases. A notable subset of patients hospitalized with VT do not have an implanted cardioverter-defibrillator (ICD) at presentation because of clinical ineligibility, postponed evaluation, or systemic disparities, despite ICDs being the gold standard for preventing sudden cardiac death </w:t>
      </w:r>
      <w:hyperlink r:id="rId6" w:history="1">
        <w:r>
          <w:rPr>
            <w:lang w:val="pt-PT"/>
          </w:rPr>
          <w:t>[1]</w:t>
        </w:r>
      </w:hyperlink>
      <w:r>
        <w:rPr>
          <w:lang w:val="en-US"/>
        </w:rPr>
        <w:t xml:space="preserve">. Catheter ablation has emerged as an integral treatment for VT, particularly in those with ICDs. Landmark trials such as VTACH and VANISH demonstrated that ablation reduces VT recurrence and ICD therapies in ischemic cardiomyopathy with ICD recipients </w:t>
      </w:r>
      <w:hyperlink r:id="rId7" w:history="1">
        <w:r>
          <w:rPr>
            <w:lang w:val="pt-PT"/>
          </w:rPr>
          <w:t>[2,3]</w:t>
        </w:r>
      </w:hyperlink>
      <w:r>
        <w:rPr>
          <w:lang w:val="en-US"/>
        </w:rPr>
        <w:t>. However, there is limited data within published literature on outcomes in ICD-</w:t>
      </w:r>
      <w:proofErr w:type="spellStart"/>
      <w:r>
        <w:rPr>
          <w:lang w:val="en-US"/>
        </w:rPr>
        <w:t>na</w:t>
      </w:r>
      <w:proofErr w:type="spellEnd"/>
      <w:r>
        <w:rPr>
          <w:lang w:val="nl-NL"/>
        </w:rPr>
        <w:t>ï</w:t>
      </w:r>
      <w:proofErr w:type="spellStart"/>
      <w:r>
        <w:rPr>
          <w:lang w:val="en-US"/>
        </w:rPr>
        <w:t>ve</w:t>
      </w:r>
      <w:proofErr w:type="spellEnd"/>
      <w:r>
        <w:rPr>
          <w:lang w:val="en-US"/>
        </w:rPr>
        <w:t xml:space="preserve"> patients. In a multicenter retrospective cohort of patients with genetic channelopathies such as arrhythmogenic right ventricular cardiomyopathy (ARVC) undergoing catheter ablation without prior ICD, Santangeli et</w:t>
      </w:r>
      <w:r>
        <w:rPr>
          <w:lang w:val="fr-FR"/>
        </w:rPr>
        <w:t> </w:t>
      </w:r>
      <w:r>
        <w:rPr>
          <w:lang w:val="pt-PT"/>
        </w:rPr>
        <w:t xml:space="preserve">al. </w:t>
      </w:r>
      <w:r>
        <w:fldChar w:fldCharType="begin"/>
      </w:r>
      <w:r>
        <w:instrText xml:space="preserve"> HYPERLINK "https://sciwheel.com/work/citation?ids=10104461&amp;pre=&amp;suf=&amp;sa=0"</w:instrText>
      </w:r>
      <w:r>
        <w:fldChar w:fldCharType="separate"/>
      </w:r>
      <w:r>
        <w:rPr>
          <w:lang w:val="pt-PT"/>
        </w:rPr>
        <w:t>[4]</w:t>
      </w:r>
      <w:r>
        <w:fldChar w:fldCharType="end"/>
      </w:r>
      <w:r>
        <w:rPr>
          <w:lang w:val="en-US"/>
        </w:rPr>
        <w:t xml:space="preserve">reported 72% with acute success and no arrhythmic deaths over a median follow-up of 52 months, although VT recurrences occurred in 19% of the patients. Another recent cohort study assessed VT ablation in ischemic cardiomyopathy patients without an ICD. In this study of 114 individuals, VT recurred in 39.5% over 54 months, but only 5.3% died. Notably, epicardial ablation correlated with lower recurrence rates (8.3% vs 43.1%) </w:t>
      </w:r>
      <w:hyperlink r:id="rId8" w:history="1">
        <w:r>
          <w:rPr>
            <w:lang w:val="pt-PT"/>
          </w:rPr>
          <w:t>[5]</w:t>
        </w:r>
      </w:hyperlink>
      <w:r>
        <w:rPr>
          <w:lang w:val="en-US"/>
        </w:rPr>
        <w:t>. These previously published findings suggest that catheter ablation could be safe and effective in selected ICD-</w:t>
      </w:r>
      <w:proofErr w:type="spellStart"/>
      <w:r>
        <w:rPr>
          <w:lang w:val="en-US"/>
        </w:rPr>
        <w:t>na</w:t>
      </w:r>
      <w:proofErr w:type="spellEnd"/>
      <w:r>
        <w:rPr>
          <w:lang w:val="nl-NL"/>
        </w:rPr>
        <w:t>ï</w:t>
      </w:r>
      <w:proofErr w:type="spellStart"/>
      <w:r>
        <w:rPr>
          <w:lang w:val="en-US"/>
        </w:rPr>
        <w:t>ve</w:t>
      </w:r>
      <w:proofErr w:type="spellEnd"/>
      <w:r>
        <w:rPr>
          <w:lang w:val="en-US"/>
        </w:rPr>
        <w:t xml:space="preserve"> patients. However, prior studies have been limited by small cohorts, methodological limitations, and the lack of non-ablation control arms. Importantly, these analyses focus on long-term arrhythmia outcomes and do not address the impact on short-term in-hospital endpoints (mortality, sepsis, MI, MACE). Despite advancements in catheter ablation techniques, the clinical utility of this intervention in ventricular tachycardia (VT) patients without prior implantable cardioverter-defibrillator (ICD) </w:t>
      </w:r>
      <w:r>
        <w:rPr>
          <w:lang w:val="en-US"/>
        </w:rPr>
        <w:lastRenderedPageBreak/>
        <w:t>therapy remains insufficiently defined. In particular, there is a lack of large-scale evidence evaluating whether early ablation confers meaningful short-term clinical benefits during the index hospitalization in this high-risk, ICD-</w:t>
      </w:r>
      <w:proofErr w:type="spellStart"/>
      <w:r>
        <w:rPr>
          <w:lang w:val="en-US"/>
        </w:rPr>
        <w:t>na</w:t>
      </w:r>
      <w:proofErr w:type="spellEnd"/>
      <w:r>
        <w:rPr>
          <w:lang w:val="nl-NL"/>
        </w:rPr>
        <w:t>ï</w:t>
      </w:r>
      <w:proofErr w:type="spellStart"/>
      <w:r>
        <w:rPr>
          <w:lang w:val="en-US"/>
        </w:rPr>
        <w:t>ve</w:t>
      </w:r>
      <w:proofErr w:type="spellEnd"/>
      <w:r>
        <w:rPr>
          <w:lang w:val="en-US"/>
        </w:rPr>
        <w:t xml:space="preserve"> subgroup. Clarifying these associations is critical, as it could guide early procedural decisions and improve acute care strategies. To address this unmet need, we conducted a national comparative analysis using real-world inpatient data to examine the association of catheter ablation in this population.</w:t>
      </w:r>
      <w:r>
        <w:br/>
      </w:r>
      <w:r>
        <w:rPr>
          <w:b/>
          <w:bCs/>
        </w:rPr>
        <w:t>2. Methods.</w:t>
      </w:r>
      <w:r>
        <w:rPr>
          <w:b/>
          <w:bCs/>
        </w:rPr>
        <w:br/>
      </w:r>
      <w:r>
        <w:rPr>
          <w:b/>
          <w:bCs/>
          <w:lang w:val="en-US"/>
        </w:rPr>
        <w:t>2.1 Data Source.</w:t>
      </w:r>
      <w:r>
        <w:rPr>
          <w:b/>
          <w:bCs/>
        </w:rPr>
        <w:br/>
      </w:r>
      <w:r>
        <w:rPr>
          <w:lang w:val="en-US"/>
        </w:rPr>
        <w:t>We performed a retrospective observational cohort study using the National Inpatient Sample (NIS), a stratified 20% sample of discharges from U.S. community hospitals maintained by the Healthcare Cost and Utilization Project (HCUP). NIS supports weighted, nationally representative estimates. The study period was January 1, 2016</w:t>
      </w:r>
      <w:r>
        <w:t>–</w:t>
      </w:r>
      <w:r>
        <w:rPr>
          <w:lang w:val="en-US"/>
        </w:rPr>
        <w:t>December 31, 2021 (</w:t>
      </w:r>
      <w:r>
        <w:rPr>
          <w:b/>
          <w:bCs/>
          <w:lang w:val="it-IT"/>
        </w:rPr>
        <w:t>Figure 1</w:t>
      </w:r>
      <w:r>
        <w:rPr>
          <w:lang w:val="en-US"/>
        </w:rPr>
        <w:t>). Analyses complied with the HCUP Data Use Agreement.</w:t>
      </w:r>
      <w:r>
        <w:br/>
      </w:r>
      <w:r>
        <w:rPr>
          <w:b/>
          <w:bCs/>
          <w:lang w:val="en-US"/>
        </w:rPr>
        <w:t>2.2 Study Population and Exposure.</w:t>
      </w:r>
      <w:r>
        <w:br/>
      </w:r>
      <w:r>
        <w:rPr>
          <w:lang w:val="en-US"/>
        </w:rPr>
        <w:t xml:space="preserve">We included adults ≥18 years with ventricular tachycardia (VT) identified using validated ICD-10 codes. Exposure was catheter ablation during the index hospitalization, identified by ICD-10-PCS codes. To ensure an ICD-naïve cohort, we excluded patients with prior ICDs and those undergoing ICD implantation, revision, or removal during admission. This approach aimed to isolate the association of ablation on short-term outcomes, as ICDs mainly prevent long-term sudden death. The NIS does not reliably distinguish ischemic, non-ischemic, or idiopathic VT; therefore, all VT admissions were included, with proxies such as prior MI, cardiomyopathies, and revascularization procedures captured as covariates. Admissions with premature ventricular complexes (PVCs) alone were excluded. CPT codes were not used. Full inclusion, exposure, and </w:t>
      </w:r>
      <w:r>
        <w:rPr>
          <w:lang w:val="en-US"/>
        </w:rPr>
        <w:lastRenderedPageBreak/>
        <w:t xml:space="preserve">exclusion codes are provided in </w:t>
      </w:r>
      <w:r>
        <w:rPr>
          <w:b/>
          <w:bCs/>
          <w:lang w:val="en-US"/>
        </w:rPr>
        <w:t>Supplementary Table S1</w:t>
      </w:r>
      <w:r>
        <w:t>.</w:t>
      </w:r>
    </w:p>
    <w:p w14:paraId="76E9FEF2" w14:textId="77777777" w:rsidR="00A34650" w:rsidRDefault="00000000">
      <w:pPr>
        <w:pStyle w:val="Body"/>
        <w:widowControl w:val="0"/>
        <w:spacing w:after="120" w:line="480" w:lineRule="auto"/>
      </w:pPr>
      <w:r>
        <w:rPr>
          <w:b/>
          <w:bCs/>
          <w:lang w:val="en-US"/>
        </w:rPr>
        <w:t>2.3. Covariates and Baseline Characteristics.</w:t>
      </w:r>
      <w:r>
        <w:rPr>
          <w:b/>
          <w:bCs/>
        </w:rPr>
        <w:br/>
      </w:r>
      <w:r>
        <w:rPr>
          <w:lang w:val="en-US"/>
        </w:rPr>
        <w:t>Baseline variables included age, sex, race/ethnicity, primary payer, and hospital region, location/teaching status, and bed size (standard NIS fields). Clinical comorbidities captured for descriptive, matching, and adjustment purposes were: hyperlipidemia, hypertension, chronic heart failure, prior myocardial infarction, prior percutaneous coronary intervention (PCI), prior coronary artery bypass grafting (CABG), obesity, tobacco use, chronic obstructive pulmonary disease (COPD), obstructive sleep apnea, prior stroke, liver disease, diabetes mellitus, chronic kidney disease/end-stage renal disease (CKD/ESRD), hypothyroidism, nutritional anemia, dilated cardiomyopathy (DCM), hypertrophic cardiomyopathy (HCM), and COVID-19. Comorbidities were identified using ICD-10-CM patterns derived from validated algorithms (</w:t>
      </w:r>
      <w:proofErr w:type="spellStart"/>
      <w:r>
        <w:rPr>
          <w:lang w:val="en-US"/>
        </w:rPr>
        <w:t>Elixhauser</w:t>
      </w:r>
      <w:proofErr w:type="spellEnd"/>
      <w:r>
        <w:rPr>
          <w:lang w:val="en-US"/>
        </w:rPr>
        <w:t xml:space="preserve"> family where applicable). Variable mappings and code patterns are summarized in </w:t>
      </w:r>
      <w:r>
        <w:rPr>
          <w:b/>
          <w:bCs/>
          <w:lang w:val="en-US"/>
        </w:rPr>
        <w:t>Supplementary Tables S2</w:t>
      </w:r>
      <w:r>
        <w:rPr>
          <w:b/>
          <w:bCs/>
        </w:rPr>
        <w:t>–S3</w:t>
      </w:r>
      <w:r>
        <w:t>.</w:t>
      </w:r>
      <w:r>
        <w:br/>
      </w:r>
      <w:r>
        <w:rPr>
          <w:b/>
          <w:bCs/>
          <w:lang w:val="pt-PT"/>
        </w:rPr>
        <w:t>2.4. Outcomes.</w:t>
      </w:r>
      <w:r>
        <w:rPr>
          <w:b/>
          <w:bCs/>
        </w:rPr>
        <w:br/>
      </w:r>
      <w:r>
        <w:rPr>
          <w:lang w:val="en-US"/>
        </w:rPr>
        <w:t xml:space="preserve">The primary outcome was in-hospital mortality. Secondary outcomes were ST-elevation myocardial infarction (STEMI), cardiogenic shock, mechanical circulatory support (MCS) use, sepsis, acute heart failure, cardiac tamponade, length of stay (LOS) ≥7 days, and major adverse cardiac events (MACE) defined as a composite of in-hospital death, STEMI, or cardiogenic shock. Outcomes were identified using ICD-10-CM/PCS code families or derived from standard NIS fields; full operational definitions and code lists appear in </w:t>
      </w:r>
      <w:r>
        <w:rPr>
          <w:b/>
          <w:bCs/>
          <w:lang w:val="en-US"/>
        </w:rPr>
        <w:t>Supplementary Table S4</w:t>
      </w:r>
      <w:r>
        <w:t>.</w:t>
      </w:r>
      <w:r>
        <w:br/>
      </w:r>
      <w:r>
        <w:rPr>
          <w:b/>
          <w:bCs/>
          <w:lang w:val="en-US"/>
        </w:rPr>
        <w:t>2.5. Statistical Analysis.</w:t>
      </w:r>
      <w:r>
        <w:br/>
      </w:r>
      <w:r>
        <w:rPr>
          <w:lang w:val="en-US"/>
        </w:rPr>
        <w:t>We used methods appropriate for NIS</w:t>
      </w:r>
      <w:r>
        <w:rPr>
          <w:rtl/>
        </w:rPr>
        <w:t>’</w:t>
      </w:r>
      <w:r>
        <w:rPr>
          <w:lang w:val="en-US"/>
        </w:rPr>
        <w:t xml:space="preserve">s complex survey design, applying discharge weights to generate national estimates and accounting for stratification and clustering. Baseline </w:t>
      </w:r>
      <w:r>
        <w:rPr>
          <w:lang w:val="en-US"/>
        </w:rPr>
        <w:lastRenderedPageBreak/>
        <w:t xml:space="preserve">characteristics were compared using design-adjusted </w:t>
      </w:r>
      <w:r>
        <w:t xml:space="preserve">χ² </w:t>
      </w:r>
      <w:r>
        <w:rPr>
          <w:lang w:val="en-US"/>
        </w:rPr>
        <w:t>tests (categorical) and t-tests (continuous). Associations between ablation and outcomes were estimated using survey-adjusted multivariable logistic regression, reporting adjusted odds ratios (</w:t>
      </w:r>
      <w:proofErr w:type="spellStart"/>
      <w:r>
        <w:rPr>
          <w:lang w:val="en-US"/>
        </w:rPr>
        <w:t>aORs</w:t>
      </w:r>
      <w:proofErr w:type="spellEnd"/>
      <w:r>
        <w:rPr>
          <w:lang w:val="en-US"/>
        </w:rPr>
        <w:t>) with 95% confidence intervals (CIs). To mitigate confounding by indication, we performed 1:1 propensity score matching (PSM) using nearest-neighbor matching without replacement. The propensity model included demographics, payer, hospital characteristics, and all comorbidities listed in Section 2.4. Covariate balance was assessed using standardized mean differences (SMDs), with SMD &lt;0.10 indicating acceptable balance. Post-match associations were estimated with conditional logistic regression. All analyses were conducted in Stata 17.0 (</w:t>
      </w:r>
      <w:proofErr w:type="spellStart"/>
      <w:r>
        <w:rPr>
          <w:lang w:val="en-US"/>
        </w:rPr>
        <w:t>StataCorp</w:t>
      </w:r>
      <w:proofErr w:type="spellEnd"/>
      <w:r>
        <w:rPr>
          <w:lang w:val="en-US"/>
        </w:rPr>
        <w:t>, College Station, TX). Two-sided p &lt; 0.05 was considered statistically significant.</w:t>
      </w:r>
      <w:r>
        <w:rPr>
          <w:b/>
          <w:bCs/>
        </w:rPr>
        <w:br/>
      </w:r>
      <w:r>
        <w:rPr>
          <w:b/>
          <w:bCs/>
          <w:lang w:val="en-US"/>
        </w:rPr>
        <w:t>3. Results.</w:t>
      </w:r>
      <w:r>
        <w:rPr>
          <w:b/>
          <w:bCs/>
        </w:rPr>
        <w:br/>
      </w:r>
      <w:r>
        <w:rPr>
          <w:lang w:val="en-US"/>
        </w:rPr>
        <w:t>A total of 2,214,424 patients with a diagnosis of VT without an Implantable Cardioverter-</w:t>
      </w:r>
      <w:proofErr w:type="gramStart"/>
      <w:r>
        <w:rPr>
          <w:lang w:val="en-US"/>
        </w:rPr>
        <w:t>Defibrillator(</w:t>
      </w:r>
      <w:proofErr w:type="gramEnd"/>
      <w:r>
        <w:rPr>
          <w:lang w:val="en-US"/>
        </w:rPr>
        <w:t xml:space="preserve">ICD) were identified between 2016 and 2021. Among these, 32,640 (1.5%) underwent catheter ablation, while 2,181,784 (98.5%) did not. Baseline characteristics are shown in </w:t>
      </w:r>
      <w:r>
        <w:rPr>
          <w:b/>
          <w:bCs/>
          <w:lang w:val="fr-FR"/>
        </w:rPr>
        <w:t>Table 1</w:t>
      </w:r>
      <w:r>
        <w:t xml:space="preserve">. </w:t>
      </w:r>
      <w:r>
        <w:rPr>
          <w:b/>
          <w:bCs/>
          <w:lang w:val="fr-FR"/>
        </w:rPr>
        <w:t>Table 2</w:t>
      </w:r>
      <w:r>
        <w:rPr>
          <w:lang w:val="en-US"/>
        </w:rPr>
        <w:t xml:space="preserve"> presents unadjusted outcomes, and </w:t>
      </w:r>
      <w:r>
        <w:rPr>
          <w:b/>
          <w:bCs/>
          <w:lang w:val="fr-FR"/>
        </w:rPr>
        <w:t>Table 3</w:t>
      </w:r>
      <w:r>
        <w:rPr>
          <w:lang w:val="en-US"/>
        </w:rPr>
        <w:t xml:space="preserve"> provides adjusted and propensity score-matched outcomes.</w:t>
      </w:r>
      <w:r>
        <w:br/>
      </w:r>
      <w:r>
        <w:rPr>
          <w:b/>
          <w:bCs/>
          <w:lang w:val="en-US"/>
        </w:rPr>
        <w:t>3.1 Baseline Characteristics.</w:t>
      </w:r>
      <w:r>
        <w:rPr>
          <w:b/>
          <w:bCs/>
        </w:rPr>
        <w:br/>
      </w:r>
      <w:r>
        <w:rPr>
          <w:lang w:val="en-US"/>
        </w:rPr>
        <w:t xml:space="preserve">Patients undergoing ablation were more often male (72.0% vs. 65.2%) and White (76.0% vs. 70.8%), whereas the no-ablation group had more females (34.8% vs. 28.0%) and Black patients (17.5% vs. 12.1%) (all p &lt; 0.001). The ablation cohort was younger, with 9.3% aged 18–44 vs. 6.3% in the non-ablation group (p &lt; 0.001). They were more frequently treated in urban teaching (89.0% vs. 75.8%) and large hospitals (69.2% vs. 53.8%), while rural (1.7% vs. 5.6%) and urban non-teaching centers (9.3% vs. 18.5%) saw fewer ablation cases (all p &lt; 0.001). Private </w:t>
      </w:r>
      <w:r>
        <w:rPr>
          <w:lang w:val="en-US"/>
        </w:rPr>
        <w:lastRenderedPageBreak/>
        <w:t xml:space="preserve">insurance was more common with ablation (29.6% vs. 18.7%), while Medicare predominated without (65.2% vs. 56.7%) (p &lt; 0.001). Ablated patients had fewer comorbidities: hypertension (76.1% vs. 79.4%), smoking (37.5% vs. 39.6%), COPD (18.4% vs. 24.9%), stroke (7.4% vs. 11.4%), liver disease (7.8% vs. 11.0%), diabetes (32.0% vs. 37.4%), CKD/ESRD (29.7% vs. 36.1%), anemia (4.9% vs. 6.8%), and COVID-19 (0.4% vs. 3.3%) (all p ≤ 0.001). Conversely, ablation patients more often had hyperlipidemia (53.4% vs. 50.8%), obesity (24.7% vs. 21.0%), OSA (18.6% vs. 11.8%), DCM (10.2% vs. 5.6%), and heart failure (59.5% vs. 55.0%). Although etiology-specific VT coding was unavailable, the ablation group had higher rates of prior MI (16.5% vs. 13.2%), PCI (12.1% vs. 9.7%), CABG (17.6% vs. 14.2%), and HCM (1.3% vs. 0.9%) (all p &lt; 0.01). Suggesting a greater structural heart disease burden compared with the non-ablation group. Hypothyroidism was similar (12.5% vs. 12.7%; p = 0.751). </w:t>
      </w:r>
      <w:r>
        <w:rPr>
          <w:b/>
          <w:bCs/>
        </w:rPr>
        <w:br/>
      </w:r>
      <w:r>
        <w:rPr>
          <w:b/>
          <w:bCs/>
          <w:lang w:val="en-US"/>
        </w:rPr>
        <w:t>3.2. In-Hospital Outcomes (Unadjusted Analysis).</w:t>
      </w:r>
      <w:r>
        <w:rPr>
          <w:b/>
          <w:bCs/>
        </w:rPr>
        <w:br/>
      </w:r>
      <w:r>
        <w:rPr>
          <w:lang w:val="en-US"/>
        </w:rPr>
        <w:t xml:space="preserve">Patients treated with catheter ablation experienced significantly lower in-hospital mortality (3.2% vs. 12.7%; p &lt; 0.001). They also had a lower incidence of ST-elevated MI (6.8% vs. 17.0%; p &lt; 0.001) and sepsis (3.4% vs. 14.1%; p &lt; 0.001). The incidence of MACE, defined as a composite of in-hospital mortality, STEMI, or cardiogenic shock, was significantly lower in the ablation group (15.8% vs. 29.6%; p &lt; 0.001). Conversely, procedural complications such as cardiac tamponade (1.8% vs. 0.4%; p &lt; 0.001), use of mechanical circulatory support (MCS) (5.1% vs. 3.5%; p &lt; 0.001), and cardiogenic shock (9.1% vs. 8.0%; p = 0.001) were significantly more frequent among ablated patients. Acute heart failure (28.1% vs. 24.6%; p &lt; 0.001) was more common in the ablation group, and prolonged </w:t>
      </w:r>
      <w:proofErr w:type="gramStart"/>
      <w:r>
        <w:rPr>
          <w:lang w:val="en-US"/>
        </w:rPr>
        <w:t>hospitalization(</w:t>
      </w:r>
      <w:proofErr w:type="gramEnd"/>
      <w:r>
        <w:rPr>
          <w:lang w:val="en-US"/>
        </w:rPr>
        <w:t>≥7 days) was lower in the ablation group (40.9% vs. 44.5%; p &lt; 0.001) (</w:t>
      </w:r>
      <w:r>
        <w:rPr>
          <w:b/>
          <w:bCs/>
          <w:lang w:val="it-IT"/>
        </w:rPr>
        <w:t>Figure 2</w:t>
      </w:r>
      <w:r>
        <w:t>).</w:t>
      </w:r>
      <w:r>
        <w:br/>
      </w:r>
      <w:r>
        <w:rPr>
          <w:b/>
          <w:bCs/>
          <w:lang w:val="en-US"/>
        </w:rPr>
        <w:t>3.3. Adjusted Outcomes (Multivariable Logistic Regression).</w:t>
      </w:r>
      <w:r>
        <w:rPr>
          <w:b/>
          <w:bCs/>
        </w:rPr>
        <w:br/>
      </w:r>
      <w:r>
        <w:rPr>
          <w:lang w:val="en-US"/>
        </w:rPr>
        <w:lastRenderedPageBreak/>
        <w:t>Following multivariate adjustment for demographic and clinical variables, catheter ablation remained independently associated with lower odds of in-hospital mortality (adjusted odds ratio [</w:t>
      </w:r>
      <w:proofErr w:type="spellStart"/>
      <w:r>
        <w:rPr>
          <w:lang w:val="en-US"/>
        </w:rPr>
        <w:t>aOR</w:t>
      </w:r>
      <w:proofErr w:type="spellEnd"/>
      <w:r>
        <w:rPr>
          <w:lang w:val="en-US"/>
        </w:rPr>
        <w:t>] = 0.28; 95% CI: 0.24</w:t>
      </w:r>
      <w:r>
        <w:t>–</w:t>
      </w:r>
      <w:r>
        <w:rPr>
          <w:lang w:val="en-US"/>
        </w:rPr>
        <w:t>0.32; p &lt; 0.001), ST-elevated MI (</w:t>
      </w:r>
      <w:proofErr w:type="spellStart"/>
      <w:r>
        <w:rPr>
          <w:lang w:val="en-US"/>
        </w:rPr>
        <w:t>aOR</w:t>
      </w:r>
      <w:proofErr w:type="spellEnd"/>
      <w:r>
        <w:rPr>
          <w:lang w:val="en-US"/>
        </w:rPr>
        <w:t xml:space="preserve"> = 0.32; 95% CI: 0.29</w:t>
      </w:r>
      <w:r>
        <w:t>–</w:t>
      </w:r>
      <w:r>
        <w:rPr>
          <w:lang w:val="en-US"/>
        </w:rPr>
        <w:t>0.35; p &lt; 0.001), and sepsis (</w:t>
      </w:r>
      <w:proofErr w:type="spellStart"/>
      <w:r>
        <w:rPr>
          <w:lang w:val="en-US"/>
        </w:rPr>
        <w:t>aOR</w:t>
      </w:r>
      <w:proofErr w:type="spellEnd"/>
      <w:r>
        <w:rPr>
          <w:lang w:val="en-US"/>
        </w:rPr>
        <w:t xml:space="preserve"> = 0.26; 95% CI: 0.22</w:t>
      </w:r>
      <w:r>
        <w:t>–</w:t>
      </w:r>
      <w:r>
        <w:rPr>
          <w:lang w:val="en-US"/>
        </w:rPr>
        <w:t>0.30; p &lt; 0.001). The composite MACE outcome also showed a reduced odds ratio for ablation (</w:t>
      </w:r>
      <w:proofErr w:type="spellStart"/>
      <w:r>
        <w:rPr>
          <w:lang w:val="en-US"/>
        </w:rPr>
        <w:t>aOR</w:t>
      </w:r>
      <w:proofErr w:type="spellEnd"/>
      <w:r>
        <w:rPr>
          <w:lang w:val="en-US"/>
        </w:rPr>
        <w:t xml:space="preserve"> = 0.44; 95% CI: 0.41</w:t>
      </w:r>
      <w:r>
        <w:t>–</w:t>
      </w:r>
      <w:r>
        <w:rPr>
          <w:lang w:val="en-US"/>
        </w:rPr>
        <w:t>0.48; p &lt; 0.001). However, ablation was also associated with higher odds of cardiogenic shock (</w:t>
      </w:r>
      <w:proofErr w:type="spellStart"/>
      <w:r>
        <w:rPr>
          <w:lang w:val="en-US"/>
        </w:rPr>
        <w:t>aOR</w:t>
      </w:r>
      <w:proofErr w:type="spellEnd"/>
      <w:r>
        <w:rPr>
          <w:lang w:val="en-US"/>
        </w:rPr>
        <w:t xml:space="preserve"> = 1.10; 95% CI: 1.01</w:t>
      </w:r>
      <w:r>
        <w:t>–</w:t>
      </w:r>
      <w:r>
        <w:rPr>
          <w:lang w:val="en-US"/>
        </w:rPr>
        <w:t>1.20; p = 0.036), need for mechanical circulatory support (</w:t>
      </w:r>
      <w:proofErr w:type="spellStart"/>
      <w:r>
        <w:rPr>
          <w:lang w:val="en-US"/>
        </w:rPr>
        <w:t>aOR</w:t>
      </w:r>
      <w:proofErr w:type="spellEnd"/>
      <w:r>
        <w:rPr>
          <w:lang w:val="en-US"/>
        </w:rPr>
        <w:t xml:space="preserve"> = 1.32; 95% CI: 1.17</w:t>
      </w:r>
      <w:r>
        <w:t>–</w:t>
      </w:r>
      <w:r>
        <w:rPr>
          <w:lang w:val="en-US"/>
        </w:rPr>
        <w:t>1.49; p &lt; 0.001), and cardiac tamponade (</w:t>
      </w:r>
      <w:proofErr w:type="spellStart"/>
      <w:r>
        <w:rPr>
          <w:lang w:val="en-US"/>
        </w:rPr>
        <w:t>aOR</w:t>
      </w:r>
      <w:proofErr w:type="spellEnd"/>
      <w:r>
        <w:rPr>
          <w:lang w:val="en-US"/>
        </w:rPr>
        <w:t xml:space="preserve"> = 4.84; 95% CI: 3.94</w:t>
      </w:r>
      <w:r>
        <w:t>–</w:t>
      </w:r>
      <w:r>
        <w:rPr>
          <w:lang w:val="en-US"/>
        </w:rPr>
        <w:t>5.94; p &lt; 0.001). Acute heart failure (</w:t>
      </w:r>
      <w:proofErr w:type="spellStart"/>
      <w:r>
        <w:rPr>
          <w:lang w:val="en-US"/>
        </w:rPr>
        <w:t>aOR</w:t>
      </w:r>
      <w:proofErr w:type="spellEnd"/>
      <w:r>
        <w:rPr>
          <w:lang w:val="en-US"/>
        </w:rPr>
        <w:t xml:space="preserve"> = 0.99; 95% CI: 0.93</w:t>
      </w:r>
      <w:r>
        <w:t>–</w:t>
      </w:r>
      <w:r>
        <w:rPr>
          <w:lang w:val="en-US"/>
        </w:rPr>
        <w:t>1.07; p = 0.941) and prolonged hospitalization (</w:t>
      </w:r>
      <w:proofErr w:type="spellStart"/>
      <w:r>
        <w:rPr>
          <w:lang w:val="en-US"/>
        </w:rPr>
        <w:t>aOR</w:t>
      </w:r>
      <w:proofErr w:type="spellEnd"/>
      <w:r>
        <w:rPr>
          <w:lang w:val="en-US"/>
        </w:rPr>
        <w:t xml:space="preserve"> = 0.96; 95% CI: 0.91</w:t>
      </w:r>
      <w:r>
        <w:t>–</w:t>
      </w:r>
      <w:r>
        <w:rPr>
          <w:lang w:val="en-US"/>
        </w:rPr>
        <w:t xml:space="preserve">1.01; p = 0.104) showed no significant association with ablation after </w:t>
      </w:r>
      <w:proofErr w:type="gramStart"/>
      <w:r>
        <w:rPr>
          <w:lang w:val="en-US"/>
        </w:rPr>
        <w:t>adjustment(</w:t>
      </w:r>
      <w:proofErr w:type="gramEnd"/>
      <w:r>
        <w:rPr>
          <w:b/>
          <w:bCs/>
          <w:lang w:val="it-IT"/>
        </w:rPr>
        <w:t>Figure 3</w:t>
      </w:r>
      <w:r>
        <w:t>).</w:t>
      </w:r>
      <w:r>
        <w:br/>
      </w:r>
      <w:r>
        <w:rPr>
          <w:b/>
          <w:bCs/>
          <w:lang w:val="en-US"/>
        </w:rPr>
        <w:t>3.4 Propensity-Matched Analysis.</w:t>
      </w:r>
      <w:r>
        <w:br/>
      </w:r>
      <w:r>
        <w:rPr>
          <w:lang w:val="en-US"/>
        </w:rPr>
        <w:t xml:space="preserve">A 1:1 propensity score-matched analysis using </w:t>
      </w:r>
      <w:r>
        <w:rPr>
          <w:i/>
          <w:iCs/>
          <w:lang w:val="en-US"/>
        </w:rPr>
        <w:t>nearest neighbor match</w:t>
      </w:r>
      <w:r>
        <w:rPr>
          <w:lang w:val="en-US"/>
        </w:rPr>
        <w:t xml:space="preserve"> included 12,668 patients (6,334 per group). In this matched cohort, catheter ablation was associated with a statistically significant reduction in in-hospital mortality (3.17% vs. 8.98%; p &lt; 0.001), ST-elevated MI (6.82% vs. 18.83%; p &lt; 0.001), and sepsis (3.38% vs. 10.34%; p &lt; 0.001). The incidence of MACE (Death/STEMI/CS) was also lower in the ablation cohort (15.82% vs. 28.40%; p &lt; 0.001). However, the ablation group had a higher association with cardiac tamponade (1.78% vs. 0.43%; p &lt; 0.001), cardiogenic shock (9.14% vs. 7.12%; p &lt; 0.001), and MCS (5.04% vs. 3.71%; p &lt; 0.001). Acute heart failure (28.12% vs. 27.64%; p = 0.552) and prolonged hospital stay≥ 7 days (40.94% vs. 40.65%; p = 0.745) did not show statistically significant differences in the propensity-matched </w:t>
      </w:r>
      <w:proofErr w:type="gramStart"/>
      <w:r>
        <w:rPr>
          <w:lang w:val="en-US"/>
        </w:rPr>
        <w:t>analysis(</w:t>
      </w:r>
      <w:proofErr w:type="gramEnd"/>
      <w:r>
        <w:rPr>
          <w:b/>
          <w:bCs/>
          <w:lang w:val="it-IT"/>
        </w:rPr>
        <w:t>Figure 4</w:t>
      </w:r>
      <w:r>
        <w:t>).</w:t>
      </w:r>
      <w:r>
        <w:br/>
      </w:r>
      <w:r>
        <w:rPr>
          <w:b/>
          <w:bCs/>
          <w:lang w:val="it-IT"/>
        </w:rPr>
        <w:t>4. Discussion.</w:t>
      </w:r>
      <w:r>
        <w:rPr>
          <w:b/>
          <w:bCs/>
        </w:rPr>
        <w:br/>
      </w:r>
      <w:r>
        <w:rPr>
          <w:shd w:val="clear" w:color="auto" w:fill="FFFF00"/>
          <w:lang w:val="en-US"/>
        </w:rPr>
        <w:lastRenderedPageBreak/>
        <w:t>Catheter ablation was associated with significantly improved short-term in-hospital outcomes compared with medical management alone. After multivariable adjustment and propensity score matching, patients who underwent VT ablation experienced substantially lower in-hospital mortality, as well as lower rates of ST-elevation myocardial infarction, sepsis, and the composite outcome of major adverse cardiac events.</w:t>
      </w:r>
    </w:p>
    <w:p w14:paraId="09E67EE1" w14:textId="77777777" w:rsidR="00A34650" w:rsidRDefault="00000000">
      <w:pPr>
        <w:pStyle w:val="Body"/>
        <w:widowControl w:val="0"/>
        <w:spacing w:after="120" w:line="480" w:lineRule="auto"/>
      </w:pPr>
      <w:r>
        <w:rPr>
          <w:lang w:val="en-US"/>
        </w:rPr>
        <w:t>Catheter ablation, used in only 1.5% of VT patients without ICDs, was associated with lower in-hospital death, STEMI, sepsis, and MACE. After propensity matching, mortality fell from 8.98% to 3.17% and STEMI from 18.83% to 6.82% (p&lt;0.001). Tamponade and need for mechanical support increased; heart failure rates and length of stay were similar. Despite 2022 ESC guidelines support (Class I/</w:t>
      </w:r>
      <w:proofErr w:type="spellStart"/>
      <w:r>
        <w:rPr>
          <w:lang w:val="en-US"/>
        </w:rPr>
        <w:t>IIa</w:t>
      </w:r>
      <w:proofErr w:type="spellEnd"/>
      <w:r>
        <w:rPr>
          <w:lang w:val="en-US"/>
        </w:rPr>
        <w:t xml:space="preserve"> after antiarrhythmic failure; Class IIb first line in select incessant VT) and a NICM shift toward early drugs and ablation</w:t>
      </w:r>
      <w:hyperlink r:id="rId9" w:history="1">
        <w:r>
          <w:rPr>
            <w:lang w:val="pt-PT"/>
          </w:rPr>
          <w:t>[1,6]</w:t>
        </w:r>
      </w:hyperlink>
      <w:r>
        <w:rPr>
          <w:lang w:val="en-US"/>
        </w:rPr>
        <w:t xml:space="preserve">, use remains low: our 1.5% vs NIS 2.6% (2016 to 2019) and 3.1% (2018 to 2021) </w:t>
      </w:r>
      <w:hyperlink r:id="rId10" w:history="1">
        <w:r>
          <w:rPr>
            <w:lang w:val="pt-PT"/>
          </w:rPr>
          <w:t>[7]</w:t>
        </w:r>
      </w:hyperlink>
      <w:r>
        <w:t>,</w:t>
      </w:r>
      <w:r>
        <w:fldChar w:fldCharType="begin"/>
      </w:r>
      <w:r>
        <w:instrText xml:space="preserve"> HYPERLINK "https://sciwheel.com/work/citation?ids=18119658&amp;pre=&amp;suf=&amp;sa=0"</w:instrText>
      </w:r>
      <w:r>
        <w:fldChar w:fldCharType="separate"/>
      </w:r>
      <w:r>
        <w:rPr>
          <w:lang w:val="pt-PT"/>
        </w:rPr>
        <w:t>[8]</w:t>
      </w:r>
      <w:r>
        <w:fldChar w:fldCharType="end"/>
      </w:r>
      <w:r>
        <w:rPr>
          <w:lang w:val="en-US"/>
        </w:rPr>
        <w:t xml:space="preserve">. Most centers perform ≤10 VT ablations annually </w:t>
      </w:r>
      <w:hyperlink r:id="rId11" w:history="1">
        <w:r>
          <w:rPr>
            <w:lang w:val="pt-PT"/>
          </w:rPr>
          <w:t>[9]</w:t>
        </w:r>
      </w:hyperlink>
      <w:r>
        <w:rPr>
          <w:lang w:val="en-US"/>
        </w:rPr>
        <w:t xml:space="preserve">. Initial therapy often includes beta-blockers, amiodarone, and mexiletine, with ablation for recurrent VT [10,11]. High-resolution mapping systems (EnSite X, </w:t>
      </w:r>
      <w:proofErr w:type="spellStart"/>
      <w:r>
        <w:rPr>
          <w:lang w:val="en-US"/>
        </w:rPr>
        <w:t>Rhythmia</w:t>
      </w:r>
      <w:proofErr w:type="spellEnd"/>
      <w:r>
        <w:rPr>
          <w:lang w:val="en-US"/>
        </w:rPr>
        <w:t>) increasingly supplement or replace CARTO, improving spatial resolution and efficiency [10,11]. Utilization is uneven: ablated patients were younger, male, and White; women and Black patients were 14</w:t>
      </w:r>
      <w:r>
        <w:t>–</w:t>
      </w:r>
      <w:r>
        <w:rPr>
          <w:lang w:val="en-US"/>
        </w:rPr>
        <w:t>20% less likely to receive ablation [</w:t>
      </w:r>
      <w:hyperlink r:id="rId12" w:history="1">
        <w:r>
          <w:rPr>
            <w:lang w:val="pt-PT"/>
          </w:rPr>
          <w:t>[10]</w:t>
        </w:r>
      </w:hyperlink>
      <w:r>
        <w:rPr>
          <w:lang w:val="en-US"/>
        </w:rPr>
        <w:t>], and rural residents were 35% less likely [</w:t>
      </w:r>
      <w:hyperlink r:id="rId13" w:history="1">
        <w:r>
          <w:rPr>
            <w:lang w:val="pt-PT"/>
          </w:rPr>
          <w:t>[11]</w:t>
        </w:r>
      </w:hyperlink>
      <w:r>
        <w:rPr>
          <w:lang w:val="en-US"/>
        </w:rPr>
        <w:t xml:space="preserve">]. These patterns accord with our findings. Yousuf et al. reported privately insured patients were nearly twice as likely to undergo ablation </w:t>
      </w:r>
      <w:hyperlink r:id="rId14" w:history="1">
        <w:r>
          <w:rPr>
            <w:lang w:val="pt-PT"/>
          </w:rPr>
          <w:t>[12]</w:t>
        </w:r>
      </w:hyperlink>
      <w:r>
        <w:rPr>
          <w:lang w:val="en-US"/>
        </w:rPr>
        <w:t xml:space="preserve">, whereas Tang et al. found no robust income association, indicating narrowing yet persistent payer disparities </w:t>
      </w:r>
      <w:hyperlink r:id="rId15" w:history="1">
        <w:r>
          <w:rPr>
            <w:lang w:val="pt-PT"/>
          </w:rPr>
          <w:t>[10]</w:t>
        </w:r>
      </w:hyperlink>
      <w:r>
        <w:t>,</w:t>
      </w:r>
      <w:r>
        <w:fldChar w:fldCharType="begin"/>
      </w:r>
      <w:r>
        <w:instrText xml:space="preserve"> HYPERLINK "https://sciwheel.com/work/citation?ids=18032418&amp;pre=&amp;suf=&amp;sa=0"</w:instrText>
      </w:r>
      <w:r>
        <w:fldChar w:fldCharType="separate"/>
      </w:r>
      <w:r>
        <w:rPr>
          <w:lang w:val="pt-PT"/>
        </w:rPr>
        <w:t>[12]</w:t>
      </w:r>
      <w:r>
        <w:fldChar w:fldCharType="end"/>
      </w:r>
      <w:r>
        <w:rPr>
          <w:lang w:val="en-US"/>
        </w:rPr>
        <w:t xml:space="preserve">. Institutional capacity amplifies inequity: Katz et al. observed fewer complications at high volume centers (&gt;25 VT ablations per year) </w:t>
      </w:r>
      <w:hyperlink r:id="rId16" w:history="1">
        <w:r>
          <w:rPr>
            <w:lang w:val="pt-PT"/>
          </w:rPr>
          <w:t>[13]</w:t>
        </w:r>
      </w:hyperlink>
      <w:r>
        <w:rPr>
          <w:lang w:val="en-US"/>
        </w:rPr>
        <w:t xml:space="preserve">. In our data, about 90% of ablations occurred at large urban teaching hospitals; nonteaching and rural hospitals, despite about one third of VT admissions, </w:t>
      </w:r>
      <w:r>
        <w:rPr>
          <w:lang w:val="en-US"/>
        </w:rPr>
        <w:lastRenderedPageBreak/>
        <w:t>rarely offered ablation, consistent with the postcode lottery noted by Morcos et al. [</w:t>
      </w:r>
      <w:hyperlink r:id="rId17" w:history="1">
        <w:r>
          <w:rPr>
            <w:lang w:val="pt-PT"/>
          </w:rPr>
          <w:t>[11]</w:t>
        </w:r>
      </w:hyperlink>
      <w:r>
        <w:rPr>
          <w:lang w:val="pt-PT"/>
        </w:rPr>
        <w:t xml:space="preserve">]. </w:t>
      </w:r>
      <w:r>
        <w:rPr>
          <w:shd w:val="clear" w:color="auto" w:fill="FFFF00"/>
          <w:lang w:val="en-US"/>
        </w:rPr>
        <w:t>Advances in VT ablation technology, including the increasing adoption of high-density mapping systems, reflect broader temporal and center-level evolution in procedural practice. However, mapping platform use was not captured in the NIS and was not evaluated in this analysis; therefore, no inference can be made regarding the impact of specific mapping technologies on outcomes in the present study.</w:t>
      </w:r>
      <w:r>
        <w:rPr>
          <w:lang w:val="en-US"/>
        </w:rPr>
        <w:t xml:space="preserve"> Ablation was associated with lower in-hospital mortality (3.2% vs 12.7%; adjusted OR 0.28). US databases concur (3.0% with ablation vs 11 to 13% without; Raj et al.)</w:t>
      </w:r>
      <w:hyperlink r:id="rId18" w:history="1">
        <w:r>
          <w:rPr>
            <w:lang w:val="pt-PT"/>
          </w:rPr>
          <w:t>[14]</w:t>
        </w:r>
      </w:hyperlink>
      <w:r>
        <w:rPr>
          <w:lang w:val="en-US"/>
        </w:rPr>
        <w:t>, with similar ~70% reductions in structural heart disease cohorts</w:t>
      </w:r>
      <w:hyperlink r:id="rId19" w:history="1">
        <w:r>
          <w:rPr>
            <w:lang w:val="pt-PT"/>
          </w:rPr>
          <w:t>[15]</w:t>
        </w:r>
      </w:hyperlink>
      <w:r>
        <w:rPr>
          <w:lang w:val="en-US"/>
        </w:rPr>
        <w:t xml:space="preserve">. Trials align: VANISH halved death, VT storm, or ICD shocks at six months </w:t>
      </w:r>
      <w:hyperlink r:id="rId20" w:history="1">
        <w:r>
          <w:rPr>
            <w:lang w:val="pt-PT"/>
          </w:rPr>
          <w:t>[3]</w:t>
        </w:r>
      </w:hyperlink>
      <w:r>
        <w:rPr>
          <w:lang w:val="en-US"/>
        </w:rPr>
        <w:t>; SMASH VT reduced ICD therapies by 65% with early mortality signals</w:t>
      </w:r>
      <w:hyperlink r:id="rId21" w:history="1">
        <w:r>
          <w:rPr>
            <w:lang w:val="pt-PT"/>
          </w:rPr>
          <w:t>[16]</w:t>
        </w:r>
      </w:hyperlink>
      <w:r>
        <w:rPr>
          <w:lang w:val="en-US"/>
        </w:rPr>
        <w:t>. Mechanistically, ablation terminates reentry and attenuates sympathetic surges; a single ICD shock can triple sympathetic activity</w:t>
      </w:r>
      <w:hyperlink r:id="rId22" w:history="1">
        <w:r>
          <w:rPr>
            <w:lang w:val="pt-PT"/>
          </w:rPr>
          <w:t>[17]</w:t>
        </w:r>
      </w:hyperlink>
      <w:r>
        <w:rPr>
          <w:lang w:val="en-US"/>
        </w:rPr>
        <w:t xml:space="preserve">, and may improve output and reduce inflammation and stretch or calcium abnormalities </w:t>
      </w:r>
      <w:hyperlink r:id="rId23" w:history="1">
        <w:r>
          <w:rPr>
            <w:lang w:val="pt-PT"/>
          </w:rPr>
          <w:t>[18]</w:t>
        </w:r>
      </w:hyperlink>
      <w:r>
        <w:rPr>
          <w:lang w:val="en-US"/>
        </w:rPr>
        <w:t xml:space="preserve">. Nevertheless, 30-day mortality remains 4 to 5%, concentrated in advanced disease, shock, or persistent inducible VT; failure to achieve </w:t>
      </w:r>
      <w:proofErr w:type="spellStart"/>
      <w:r>
        <w:rPr>
          <w:lang w:val="en-US"/>
        </w:rPr>
        <w:t>noninducibility</w:t>
      </w:r>
      <w:proofErr w:type="spellEnd"/>
      <w:r>
        <w:rPr>
          <w:lang w:val="en-US"/>
        </w:rPr>
        <w:t xml:space="preserve"> accounted for 44% of deaths. Long-term mortality approximates 40% overall, exceeding 50% in severe structural disease </w:t>
      </w:r>
      <w:hyperlink r:id="rId24" w:history="1">
        <w:r>
          <w:rPr>
            <w:lang w:val="pt-PT"/>
          </w:rPr>
          <w:t>[19]</w:t>
        </w:r>
      </w:hyperlink>
      <w:r>
        <w:rPr>
          <w:lang w:val="en-US"/>
        </w:rPr>
        <w:t xml:space="preserve">. Catheter ablation was associated with a 68% relative reduction in STEMI among VT admissions (adjusted OR 0.32). Population-level evidence on MI as an ablation outcome is limited, as registries often omit or bundle MI under general complications. When reported, periprocedural MI is rare (0.09% in a 120,000-patient Japanese cohort; under 0.2% at US centers) </w:t>
      </w:r>
      <w:hyperlink r:id="rId25" w:history="1">
        <w:r>
          <w:rPr>
            <w:lang w:val="pt-PT"/>
          </w:rPr>
          <w:t>[20]</w:t>
        </w:r>
      </w:hyperlink>
      <w:r>
        <w:rPr>
          <w:lang w:val="en-US"/>
        </w:rPr>
        <w:t xml:space="preserve">, aligning with our ablated group rate of 1.8 per 1,000 versus 5.5 per 1,000 with medical therapy </w:t>
      </w:r>
      <w:hyperlink r:id="rId26" w:history="1">
        <w:r>
          <w:rPr>
            <w:lang w:val="pt-PT"/>
          </w:rPr>
          <w:t>[20</w:t>
        </w:r>
        <w:r>
          <w:t>–</w:t>
        </w:r>
        <w:r>
          <w:rPr>
            <w:lang w:val="pt-PT"/>
          </w:rPr>
          <w:t>22]</w:t>
        </w:r>
      </w:hyperlink>
      <w:r>
        <w:rPr>
          <w:lang w:val="en-US"/>
        </w:rPr>
        <w:t xml:space="preserve">. Epicardial ablation-related coronary events are exceptionally uncommon, with 61 cases over 30 years </w:t>
      </w:r>
      <w:hyperlink r:id="rId27" w:history="1">
        <w:r>
          <w:rPr>
            <w:lang w:val="pt-PT"/>
          </w:rPr>
          <w:t>[20</w:t>
        </w:r>
        <w:r>
          <w:t>–</w:t>
        </w:r>
        <w:r>
          <w:rPr>
            <w:lang w:val="pt-PT"/>
          </w:rPr>
          <w:t>22]</w:t>
        </w:r>
      </w:hyperlink>
      <w:r>
        <w:rPr>
          <w:lang w:val="en-US"/>
        </w:rPr>
        <w:t>. Mechanistically, sustained VT increases oxygen demand and shortens diastole; doubling heart rate can provoke subendocardial ischemia even in normal hearts</w:t>
      </w:r>
      <w:hyperlink r:id="rId28" w:history="1">
        <w:r>
          <w:rPr>
            <w:lang w:val="pt-PT"/>
          </w:rPr>
          <w:t>[23]</w:t>
        </w:r>
      </w:hyperlink>
      <w:r>
        <w:rPr>
          <w:lang w:val="en-US"/>
        </w:rPr>
        <w:t xml:space="preserve">. Guidelines </w:t>
      </w:r>
      <w:r>
        <w:rPr>
          <w:lang w:val="en-US"/>
        </w:rPr>
        <w:lastRenderedPageBreak/>
        <w:t>recognize tachyarrhythmia-induced supply-demand mismatch as a cause of type 2 MI</w:t>
      </w:r>
      <w:hyperlink r:id="rId29" w:history="1">
        <w:r>
          <w:rPr>
            <w:lang w:val="pt-PT"/>
          </w:rPr>
          <w:t>[24]</w:t>
        </w:r>
      </w:hyperlink>
      <w:r>
        <w:rPr>
          <w:lang w:val="en-US"/>
        </w:rPr>
        <w:t>. Clusters of ICD shocks raise troponin, indicating myocyte injury from catecholamine surges and mechanical stunning. By eliminating reentry, ablation slows the ventricular rate, reduces sympathetic drive and shocks, improves perfusion, and lowers demand-related infarction risk. Acute heart failure occurred in about 28% of ablated cases and 25 to 28% of VT hospitalizations overall, with neutral odds between groups (adjusted OR 0.99). VANISH showed no significant difference in heart failure at 30 days (5.1% vs 6.2%) or at six months</w:t>
      </w:r>
      <w:hyperlink r:id="rId30" w:history="1">
        <w:r>
          <w:rPr>
            <w:lang w:val="pt-PT"/>
          </w:rPr>
          <w:t>[25]</w:t>
        </w:r>
      </w:hyperlink>
      <w:r>
        <w:rPr>
          <w:lang w:val="en-US"/>
        </w:rPr>
        <w:t xml:space="preserve">. The International VT Ablation Center Collaboration likewise found no early heart failure excess; risk tracked with disease severity, notably NYHA class IV, which predicted decompensation and one-year mortality </w:t>
      </w:r>
      <w:hyperlink r:id="rId31" w:history="1">
        <w:r>
          <w:rPr>
            <w:lang w:val="pt-PT"/>
          </w:rPr>
          <w:t>[25]</w:t>
        </w:r>
      </w:hyperlink>
      <w:r>
        <w:rPr>
          <w:lang w:val="en-US"/>
        </w:rPr>
        <w:t>. In high-risk settings, worsening heart failure reflected baseline status (NYHA III or IV, prior failed ablation) rather than the procedure</w:t>
      </w:r>
      <w:hyperlink r:id="rId32" w:history="1">
        <w:r>
          <w:rPr>
            <w:lang w:val="pt-PT"/>
          </w:rPr>
          <w:t>[26]</w:t>
        </w:r>
      </w:hyperlink>
      <w:r>
        <w:rPr>
          <w:lang w:val="en-US"/>
        </w:rPr>
        <w:t>. The German Ablation Registry, PAINESD, and Santangeli et al. similarly linked post-ablation heart failure to substrate, storm severity, and comorbidities, not procedural harm</w:t>
      </w:r>
      <w:hyperlink r:id="rId33" w:history="1">
        <w:r>
          <w:rPr>
            <w:lang w:val="pt-PT"/>
          </w:rPr>
          <w:t>[27]</w:t>
        </w:r>
      </w:hyperlink>
      <w:r>
        <w:rPr>
          <w:lang w:val="en-US"/>
        </w:rPr>
        <w:t xml:space="preserve">. Pathophysiology integrates chronic tachycardia-mediated calcium handling defects, neurohormonal activation, and myocyte loss, as well as catecholamine-driven afterload and contractility impairment during storms </w:t>
      </w:r>
      <w:hyperlink r:id="rId34" w:history="1">
        <w:r>
          <w:rPr>
            <w:lang w:val="pt-PT"/>
          </w:rPr>
          <w:t>[28]</w:t>
        </w:r>
      </w:hyperlink>
      <w:r>
        <w:rPr>
          <w:lang w:val="en-US"/>
        </w:rPr>
        <w:t>. Procedure-related factors (anesthesia, fluid and contrast load, rapid pacing, radiofrequency microvascular injury) can transiently raise filling pressures</w:t>
      </w:r>
      <w:hyperlink r:id="rId35" w:history="1">
        <w:r>
          <w:rPr>
            <w:lang w:val="pt-PT"/>
          </w:rPr>
          <w:t>[27]</w:t>
        </w:r>
      </w:hyperlink>
      <w:r>
        <w:rPr>
          <w:lang w:val="en-US"/>
        </w:rPr>
        <w:t xml:space="preserve">, explaining neutral short-term outcomes despite longer-term improvement with VT suppression. Cardiogenic shock occurred in about 9.1% after ablation, slightly higher than with medical therapy. Mechanical circulatory support was used in about 5% (adjusted OR 1.32), consistent with registry reports of acute hemodynamic decompensation in 8 to 12% and support use in 5 to 10% of high-risk ablations </w:t>
      </w:r>
      <w:hyperlink r:id="rId36" w:history="1">
        <w:r>
          <w:rPr>
            <w:lang w:val="pt-PT"/>
          </w:rPr>
          <w:t>[29]</w:t>
        </w:r>
      </w:hyperlink>
      <w:r>
        <w:t xml:space="preserve">, </w:t>
      </w:r>
      <w:r>
        <w:fldChar w:fldCharType="begin"/>
      </w:r>
      <w:r>
        <w:instrText xml:space="preserve"> HYPERLINK "https://sciwheel.com/work/citation?ids=18120015&amp;pre=&amp;suf=&amp;sa=0"</w:instrText>
      </w:r>
      <w:r>
        <w:fldChar w:fldCharType="separate"/>
      </w:r>
      <w:r>
        <w:rPr>
          <w:lang w:val="pt-PT"/>
        </w:rPr>
        <w:t>[30]</w:t>
      </w:r>
      <w:r>
        <w:fldChar w:fldCharType="end"/>
      </w:r>
      <w:r>
        <w:rPr>
          <w:lang w:val="en-US"/>
        </w:rPr>
        <w:t xml:space="preserve">. PAINESD score-based analyses show that scores ≥15 carry sharply higher risks of shock and MCS; in such patients, preemptive LV support nearly halves periprocedural </w:t>
      </w:r>
      <w:r>
        <w:rPr>
          <w:lang w:val="en-US"/>
        </w:rPr>
        <w:lastRenderedPageBreak/>
        <w:t>decompensation</w:t>
      </w:r>
      <w:hyperlink r:id="rId37" w:history="1">
        <w:r>
          <w:rPr>
            <w:lang w:val="pt-PT"/>
          </w:rPr>
          <w:t>[31,32]</w:t>
        </w:r>
      </w:hyperlink>
      <w:r>
        <w:rPr>
          <w:lang w:val="en-US"/>
        </w:rPr>
        <w:t>. By contrast, starting MCS after shock onset triples to quadruples mortality, indicating illness severity rather than procedural harm. Our neutral to slightly higher shock rates likely reflect high-risk referral bias. Sustained VT stresses weak myocardium, and anesthesia, rapid pacing, and RF injury add strain. Temporary MCS unloads the ventricle, maintains perfusion, and permits complete mapping; observational series report 70 to 80% successful device weaning in refractory shock</w:t>
      </w:r>
      <w:hyperlink r:id="rId38" w:history="1">
        <w:r>
          <w:rPr>
            <w:lang w:val="pt-PT"/>
          </w:rPr>
          <w:t>[33,34]</w:t>
        </w:r>
      </w:hyperlink>
      <w:r>
        <w:rPr>
          <w:lang w:val="en-US"/>
        </w:rPr>
        <w:t>. MCS complications remain substantial, including bleeding, hemolysis, stroke, and limb ischemia in 10 to 20%</w:t>
      </w:r>
      <w:hyperlink r:id="rId39" w:history="1">
        <w:r>
          <w:rPr>
            <w:lang w:val="pt-PT"/>
          </w:rPr>
          <w:t>[35]</w:t>
        </w:r>
      </w:hyperlink>
      <w:r>
        <w:rPr>
          <w:lang w:val="en-US"/>
        </w:rPr>
        <w:t xml:space="preserve">. Cardiac tamponade occurred in 1.8% of VT ablation admissions versus 0.4% with medical therapy (adjusted OR 4.84), matching rates in contemporary endocardial VT registries (1.0 to 1.6%) </w:t>
      </w:r>
      <w:hyperlink r:id="rId40" w:history="1">
        <w:r>
          <w:rPr>
            <w:lang w:val="pt-PT"/>
          </w:rPr>
          <w:t>[36,37]</w:t>
        </w:r>
      </w:hyperlink>
      <w:r>
        <w:rPr>
          <w:lang w:val="fr-FR"/>
        </w:rPr>
        <w:t xml:space="preserve">. </w:t>
      </w:r>
      <w:proofErr w:type="spellStart"/>
      <w:r>
        <w:rPr>
          <w:lang w:val="fr-FR"/>
        </w:rPr>
        <w:t>Higher</w:t>
      </w:r>
      <w:proofErr w:type="spellEnd"/>
      <w:r>
        <w:rPr>
          <w:lang w:val="fr-FR"/>
        </w:rPr>
        <w:t xml:space="preserve"> rates (3 to 9%) </w:t>
      </w:r>
      <w:proofErr w:type="spellStart"/>
      <w:r>
        <w:rPr>
          <w:lang w:val="fr-FR"/>
        </w:rPr>
        <w:t>accompany</w:t>
      </w:r>
      <w:proofErr w:type="spellEnd"/>
      <w:r>
        <w:rPr>
          <w:lang w:val="fr-FR"/>
        </w:rPr>
        <w:t xml:space="preserve"> </w:t>
      </w:r>
      <w:proofErr w:type="spellStart"/>
      <w:r>
        <w:rPr>
          <w:lang w:val="fr-FR"/>
        </w:rPr>
        <w:t>epicardial</w:t>
      </w:r>
      <w:proofErr w:type="spellEnd"/>
      <w:r>
        <w:rPr>
          <w:lang w:val="fr-FR"/>
        </w:rPr>
        <w:t xml:space="preserve"> </w:t>
      </w:r>
      <w:proofErr w:type="spellStart"/>
      <w:r>
        <w:rPr>
          <w:lang w:val="fr-FR"/>
        </w:rPr>
        <w:t>access</w:t>
      </w:r>
      <w:proofErr w:type="spellEnd"/>
      <w:r>
        <w:rPr>
          <w:lang w:val="fr-FR"/>
        </w:rPr>
        <w:t xml:space="preserve">, </w:t>
      </w:r>
      <w:proofErr w:type="spellStart"/>
      <w:r>
        <w:rPr>
          <w:lang w:val="fr-FR"/>
        </w:rPr>
        <w:t>especially</w:t>
      </w:r>
      <w:proofErr w:type="spellEnd"/>
      <w:r>
        <w:rPr>
          <w:lang w:val="fr-FR"/>
        </w:rPr>
        <w:t xml:space="preserve"> in non-</w:t>
      </w:r>
      <w:proofErr w:type="spellStart"/>
      <w:r>
        <w:rPr>
          <w:lang w:val="fr-FR"/>
        </w:rPr>
        <w:t>ischemic</w:t>
      </w:r>
      <w:proofErr w:type="spellEnd"/>
      <w:r>
        <w:rPr>
          <w:lang w:val="fr-FR"/>
        </w:rPr>
        <w:t xml:space="preserve"> </w:t>
      </w:r>
      <w:proofErr w:type="spellStart"/>
      <w:r>
        <w:rPr>
          <w:lang w:val="fr-FR"/>
        </w:rPr>
        <w:t>substrates</w:t>
      </w:r>
      <w:proofErr w:type="spellEnd"/>
      <w:r>
        <w:rPr>
          <w:lang w:val="fr-FR"/>
        </w:rPr>
        <w:t xml:space="preserve"> or </w:t>
      </w:r>
      <w:proofErr w:type="spellStart"/>
      <w:r>
        <w:rPr>
          <w:lang w:val="fr-FR"/>
        </w:rPr>
        <w:t>near</w:t>
      </w:r>
      <w:proofErr w:type="spellEnd"/>
      <w:r>
        <w:rPr>
          <w:lang w:val="fr-FR"/>
        </w:rPr>
        <w:t xml:space="preserve"> the LV </w:t>
      </w:r>
      <w:proofErr w:type="spellStart"/>
      <w:r>
        <w:rPr>
          <w:lang w:val="fr-FR"/>
        </w:rPr>
        <w:t>summit</w:t>
      </w:r>
      <w:proofErr w:type="spellEnd"/>
      <w:r>
        <w:fldChar w:fldCharType="begin"/>
      </w:r>
      <w:r>
        <w:instrText xml:space="preserve"> HYPERLINK "https://sciwheel.com/work/citation?ids=15745476,18120020,14258943&amp;pre=&amp;pre=&amp;pre=&amp;suf=&amp;suf=&amp;suf=&amp;sa=0,0,0"</w:instrText>
      </w:r>
      <w:r>
        <w:fldChar w:fldCharType="separate"/>
      </w:r>
      <w:r>
        <w:rPr>
          <w:lang w:val="pt-PT"/>
        </w:rPr>
        <w:t>[36</w:t>
      </w:r>
      <w:r>
        <w:t>–</w:t>
      </w:r>
      <w:r>
        <w:rPr>
          <w:lang w:val="pt-PT"/>
        </w:rPr>
        <w:t>38]</w:t>
      </w:r>
      <w:r>
        <w:fldChar w:fldCharType="end"/>
      </w:r>
      <w:r>
        <w:rPr>
          <w:lang w:val="en-US"/>
        </w:rPr>
        <w:t>. Administrative datasets of mixed ablations report a lower baseline risk of around 0.3%</w:t>
      </w:r>
      <w:hyperlink r:id="rId41" w:history="1">
        <w:r>
          <w:rPr>
            <w:lang w:val="pt-PT"/>
          </w:rPr>
          <w:t>[39]</w:t>
        </w:r>
      </w:hyperlink>
      <w:r>
        <w:rPr>
          <w:lang w:val="en-US"/>
        </w:rPr>
        <w:t>. Preventive strategies include ultrasound or micro-puncture guided epicardial access, intracardiac echocardiography for early effusion detection, cautious contact force and power over thin myocardium, and a pigtail drain for 12 to 24 hours after extensive epicardial ablation</w:t>
      </w:r>
      <w:hyperlink r:id="rId42" w:history="1">
        <w:r>
          <w:rPr>
            <w:lang w:val="pt-PT"/>
          </w:rPr>
          <w:t>[37,38,40]</w:t>
        </w:r>
      </w:hyperlink>
      <w:r>
        <w:t>.</w:t>
      </w:r>
      <w:r>
        <w:rPr>
          <w:shd w:val="clear" w:color="auto" w:fill="FFFF00"/>
          <w:lang w:val="en-US"/>
        </w:rPr>
        <w:t>Sepsis is a well-recognized trigger for ventricular arrhythmias through cytokine-mediated electrophysiologic disturbances, metabolic derangements, and heightened sympathetic activation, and is also a strong marker of critical illness and poor prognosis. Patients presenting with active infection or septic physiology are less likely to be referred for invasive electrophysiologic procedures, introducing substantial selection bias. Accordingly, the higher sepsis rates in the non-ablation cohort likely reflect greater baseline illness severity, metabolic instability, and competing clinical priorities rather than harm avoidance attributable to ablation.</w:t>
      </w:r>
      <w:r>
        <w:rPr>
          <w:lang w:val="en-US"/>
        </w:rPr>
        <w:t xml:space="preserve"> Sepsis occurred in 0.6% after ablation, a 74% lower rate than with medical therapy (adjusted OR 0.26), consistent with infection rates under 1% despite overall complication rates of 5 to 9% in </w:t>
      </w:r>
      <w:r>
        <w:rPr>
          <w:lang w:val="en-US"/>
        </w:rPr>
        <w:lastRenderedPageBreak/>
        <w:t>procedural registries</w:t>
      </w:r>
      <w:hyperlink r:id="rId43" w:history="1">
        <w:r>
          <w:rPr>
            <w:lang w:val="pt-PT"/>
          </w:rPr>
          <w:t>[41,42]</w:t>
        </w:r>
      </w:hyperlink>
      <w:r>
        <w:rPr>
          <w:lang w:val="en-US"/>
        </w:rPr>
        <w:t>. In broader critical care cohorts, sepsis affects 4 to 8% of arrhythmia admissions, and pre-existing infection predicts VT storm and mortality</w:t>
      </w:r>
      <w:hyperlink r:id="rId44" w:history="1">
        <w:r>
          <w:rPr>
            <w:lang w:val="pt-PT"/>
          </w:rPr>
          <w:t>[43,44]</w:t>
        </w:r>
      </w:hyperlink>
      <w:r>
        <w:rPr>
          <w:lang w:val="en-US"/>
        </w:rPr>
        <w:t xml:space="preserve">. Cytokine-mediated potassium current suppression, nitric oxide-related calcium disturbance, and catecholamine-driven action potential shortening likely promote arrhythmogenesis </w:t>
      </w:r>
      <w:hyperlink r:id="rId45" w:history="1">
        <w:r>
          <w:rPr>
            <w:lang w:val="pt-PT"/>
          </w:rPr>
          <w:t>[44]</w:t>
        </w:r>
      </w:hyperlink>
      <w:r>
        <w:t xml:space="preserve">. </w:t>
      </w:r>
      <w:r>
        <w:rPr>
          <w:shd w:val="clear" w:color="auto" w:fill="FFFF00"/>
          <w:lang w:val="en-US"/>
        </w:rPr>
        <w:t xml:space="preserve">with lake of timing, severity, source control, or vasopressor requirements, limiting causal </w:t>
      </w:r>
      <w:proofErr w:type="spellStart"/>
      <w:r>
        <w:rPr>
          <w:shd w:val="clear" w:color="auto" w:fill="FFFF00"/>
          <w:lang w:val="en-US"/>
        </w:rPr>
        <w:t>inferencein</w:t>
      </w:r>
      <w:proofErr w:type="spellEnd"/>
      <w:r>
        <w:rPr>
          <w:shd w:val="clear" w:color="auto" w:fill="FFFF00"/>
          <w:lang w:val="en-US"/>
        </w:rPr>
        <w:t xml:space="preserve"> the data</w:t>
      </w:r>
      <w:r>
        <w:t xml:space="preserve"> </w:t>
      </w:r>
      <w:r>
        <w:rPr>
          <w:shd w:val="clear" w:color="auto" w:fill="FFFF00"/>
          <w:lang w:val="en-US"/>
        </w:rPr>
        <w:t>Thus, reduced sepsis rates in the ablation group should be interpreted as reflecting patient selection Ablation may mitigate this by removing the VT focus, reducing sympathetic discharge and shocks, and limiting invasive exposure; antibiotic prophylaxis and ultrasound-guided access keep bacteremia below 0.3%</w:t>
      </w:r>
      <w:hyperlink r:id="rId46" w:history="1">
        <w:r>
          <w:rPr>
            <w:lang w:val="pt-PT"/>
          </w:rPr>
          <w:t>[45]</w:t>
        </w:r>
      </w:hyperlink>
      <w:r>
        <w:rPr>
          <w:lang w:val="en-US"/>
        </w:rPr>
        <w:t>. Length of stay did not differ after adjustment (adjusted OR 0.96). Prior reports vary, with longer stays in elective series (median six vs four days) and shorter stays in recent single-center cohorts (median three days); prolonged stay tracks with NYHA class, RV dysfunction, and urgent presentation rather than procedural complexity</w:t>
      </w:r>
      <w:hyperlink r:id="rId47" w:history="1">
        <w:r>
          <w:rPr>
            <w:lang w:val="pt-PT"/>
          </w:rPr>
          <w:t>[46]</w:t>
        </w:r>
      </w:hyperlink>
      <w:r>
        <w:rPr>
          <w:lang w:val="en-US"/>
        </w:rPr>
        <w:t>. Emergent ablation registries report that 44% of unstable patients required hospital stays longer than seven days or died early, with outcomes driven by disease severity rather than the procedure</w:t>
      </w:r>
      <w:hyperlink r:id="rId48" w:history="1">
        <w:r>
          <w:rPr>
            <w:lang w:val="pt-PT"/>
          </w:rPr>
          <w:t>[26]</w:t>
        </w:r>
      </w:hyperlink>
      <w:r>
        <w:rPr>
          <w:lang w:val="en-US"/>
        </w:rPr>
        <w:t>. Our findings likely reflect a balance between monitoring needs and the benefits of rhythm control, yielding comparable length of stay. Ablation may shorten hospitalization by reducing recurrent VT, ICD shocks, and catecholamine surges, factors linked to fewer readmissions and lower resource use in other cohorts</w:t>
      </w:r>
      <w:hyperlink r:id="rId49" w:history="1">
        <w:r>
          <w:rPr>
            <w:lang w:val="pt-PT"/>
          </w:rPr>
          <w:t>[47]</w:t>
        </w:r>
      </w:hyperlink>
      <w:r>
        <w:rPr>
          <w:lang w:val="en-US"/>
        </w:rPr>
        <w:t xml:space="preserve">. Countervailing procedural factors include vasodilation from general anesthesia requiring vasopressors, fluid, and contrast, worsening congestion, the need for extended monitoring while sheaths remain, and complications such as effusion or bleeding that prolong stays, especially in high-risk patients, sometimes increasing length fourfold. Streamlined protocols, ultrasound-guided access, early sheath removal, and early mobilization may reduce length of stay. At present, underlying disease </w:t>
      </w:r>
      <w:r>
        <w:rPr>
          <w:lang w:val="en-US"/>
        </w:rPr>
        <w:lastRenderedPageBreak/>
        <w:t>severity remains the principal driver of admissions exceeding seven days</w:t>
      </w:r>
      <w:hyperlink r:id="rId50" w:history="1">
        <w:r>
          <w:rPr>
            <w:lang w:val="pt-PT"/>
          </w:rPr>
          <w:t>[48]</w:t>
        </w:r>
      </w:hyperlink>
      <w:r>
        <w:t xml:space="preserve">. </w:t>
      </w:r>
      <w:r>
        <w:rPr>
          <w:shd w:val="clear" w:color="auto" w:fill="FFFF00"/>
          <w:lang w:val="en-US"/>
        </w:rPr>
        <w:t>An important consideration in interpreting our findings is the higher prevalence of ischemic heart disease markers, including prior myocardial infarction, PCI, and CABG, among patients who underwent VT ablation. Because the NIS does not reliably distinguish ischemic from non-ischemic VT, these findings likely reflect referral and treatment patterns rather than causal effects of substrate type. Patients with ischemic cardiomyopathy and scar-related VT are more commonly referred to tertiary centers with advanced electrophysiology capabilities, where catheter ablation is more readily available, whereas patients with non-ischemic cardiomyopathy are less frequently offered ablation in non-specialized or lower-volume hospitals. Consequently, patients with non-ischemic or idiopathic VT may be underrepresented in the ablation cohort. This substrate-related referral bias may influence observed outcome differences, limiting the generalizability of our findings across all VT etiologies</w:t>
      </w:r>
      <w:r>
        <w:t>.</w:t>
      </w:r>
      <w:r>
        <w:br/>
      </w:r>
      <w:r>
        <w:rPr>
          <w:b/>
          <w:bCs/>
          <w:lang w:val="en-US"/>
        </w:rPr>
        <w:t>Strengths</w:t>
      </w:r>
      <w:r>
        <w:rPr>
          <w:b/>
          <w:bCs/>
          <w:i/>
          <w:iCs/>
        </w:rPr>
        <w:br/>
      </w:r>
      <w:r>
        <w:rPr>
          <w:lang w:val="en-US"/>
        </w:rPr>
        <w:t>A principal strength of this study is its national scope. Leveraging HCUP NIS, a stratified 20% sample of U.S. community hospital discharges, we assembled a large, demographically and geographically diverse VT cohort, enhancing external validity. The 2016</w:t>
      </w:r>
      <w:r>
        <w:t>–</w:t>
      </w:r>
      <w:r>
        <w:rPr>
          <w:lang w:val="en-US"/>
        </w:rPr>
        <w:t>2021 window reflects contemporary practice (contact-force catheters, high-density mapping, guideline-directed therapy). With more than 30,000 ablations and more than 2 million non-ablated admissions, the study was powered to evaluate both common and infrequent outcomes. Confounding was addressed with multivariable adjustment and propensity-score matching, and findings were consistent across sex, race, and hospital-volume strata. Restricting to ICD-</w:t>
      </w:r>
      <w:proofErr w:type="spellStart"/>
      <w:r>
        <w:rPr>
          <w:lang w:val="en-US"/>
        </w:rPr>
        <w:t>na</w:t>
      </w:r>
      <w:proofErr w:type="spellEnd"/>
      <w:r>
        <w:rPr>
          <w:lang w:val="nl-NL"/>
        </w:rPr>
        <w:t>ï</w:t>
      </w:r>
      <w:proofErr w:type="spellStart"/>
      <w:r>
        <w:rPr>
          <w:lang w:val="en-US"/>
        </w:rPr>
        <w:t>ve</w:t>
      </w:r>
      <w:proofErr w:type="spellEnd"/>
      <w:r>
        <w:rPr>
          <w:lang w:val="en-US"/>
        </w:rPr>
        <w:t xml:space="preserve"> admissions enabled estimation of the direct association between ablation and acute in-hospital outcomes, independent of device therapy.</w:t>
      </w:r>
    </w:p>
    <w:p w14:paraId="6A9E460B" w14:textId="77777777" w:rsidR="00A34650" w:rsidRDefault="00000000">
      <w:pPr>
        <w:pStyle w:val="Body"/>
        <w:widowControl w:val="0"/>
        <w:spacing w:after="120" w:line="480" w:lineRule="auto"/>
        <w:rPr>
          <w:b/>
          <w:bCs/>
        </w:rPr>
      </w:pPr>
      <w:r>
        <w:rPr>
          <w:b/>
          <w:bCs/>
          <w:lang w:val="fr-FR"/>
        </w:rPr>
        <w:lastRenderedPageBreak/>
        <w:t>Limitations</w:t>
      </w:r>
    </w:p>
    <w:p w14:paraId="54F1F8B3" w14:textId="77777777" w:rsidR="00A34650" w:rsidRDefault="00000000">
      <w:pPr>
        <w:pStyle w:val="Body"/>
        <w:widowControl w:val="0"/>
        <w:spacing w:after="120" w:line="480" w:lineRule="auto"/>
      </w:pPr>
      <w:r>
        <w:rPr>
          <w:shd w:val="clear" w:color="auto" w:fill="FFFF00"/>
          <w:lang w:val="en-US"/>
        </w:rPr>
        <w:t>This study has several important limitations inherent to its retrospective, observational design using administrative data. ICD-10 coding may have resulted in misclassification of VT subtype, ablation procedures, and complications, and the NIS lacks granular clinical information such as VT burden, ischemic acuity, scar characteristics, left ventricular function, inducibility, procedural success, and illness severity, leaving residual confounding despite extensive multivariable adjustment and propensity score matching. Selection bias and confounding by indication are likely, as patients referred for ablation may differ systematically from those managed medically with respect to hemodynamic stability, frailty, and clinician judgment. Additionally, the NIS captures only index hospitalizations, precluding assessment of readmissions or long-term outcomes. Importantly, VT etiology cannot be reliably classified as ischemic, non-ischemic, or idiopathic; thus, observed associations may partially reflect substrate-related referral patterns rather than treatment effects alone, and findings may not generalize equally to patients with non-ischemic or idiopathic VT.</w:t>
      </w:r>
    </w:p>
    <w:p w14:paraId="61DEC9A9" w14:textId="77777777" w:rsidR="00A34650" w:rsidRDefault="00000000">
      <w:pPr>
        <w:pStyle w:val="Body"/>
        <w:widowControl w:val="0"/>
        <w:spacing w:after="120" w:line="480" w:lineRule="auto"/>
      </w:pPr>
      <w:r>
        <w:rPr>
          <w:b/>
          <w:bCs/>
          <w:lang w:val="it-IT"/>
        </w:rPr>
        <w:t>Conclusion.</w:t>
      </w:r>
      <w:r>
        <w:rPr>
          <w:b/>
          <w:bCs/>
        </w:rPr>
        <w:br/>
      </w:r>
      <w:r>
        <w:rPr>
          <w:lang w:val="en-US"/>
        </w:rPr>
        <w:t>In this large national cohort of VT patients without prior ICDs, catheter ablation was used in only a small fraction of cases. Still, it was associated with lower rates of in-hospital death, STEMI, and sepsis. As an observational study, these findings warrant prospective confirmation and may support earlier consideration of ablation in carefully selected ICD-</w:t>
      </w:r>
      <w:proofErr w:type="spellStart"/>
      <w:r>
        <w:rPr>
          <w:lang w:val="en-US"/>
        </w:rPr>
        <w:t>na</w:t>
      </w:r>
      <w:proofErr w:type="spellEnd"/>
      <w:r>
        <w:rPr>
          <w:lang w:val="nl-NL"/>
        </w:rPr>
        <w:t>ï</w:t>
      </w:r>
      <w:proofErr w:type="spellStart"/>
      <w:r>
        <w:rPr>
          <w:lang w:val="en-US"/>
        </w:rPr>
        <w:t>ve</w:t>
      </w:r>
      <w:proofErr w:type="spellEnd"/>
      <w:r>
        <w:rPr>
          <w:lang w:val="en-US"/>
        </w:rPr>
        <w:t xml:space="preserve"> patients; efforts to improve equitable access are needed.</w:t>
      </w:r>
    </w:p>
    <w:p w14:paraId="3AEB420B" w14:textId="77777777" w:rsidR="00A34650" w:rsidRDefault="00000000">
      <w:pPr>
        <w:pStyle w:val="Body"/>
        <w:widowControl w:val="0"/>
        <w:spacing w:line="480" w:lineRule="auto"/>
        <w:rPr>
          <w:rStyle w:val="None"/>
          <w:sz w:val="22"/>
          <w:szCs w:val="22"/>
        </w:rPr>
      </w:pPr>
      <w:r>
        <w:rPr>
          <w:b/>
          <w:bCs/>
          <w:sz w:val="22"/>
          <w:szCs w:val="22"/>
        </w:rPr>
        <w:t>Declarations.</w:t>
      </w:r>
      <w:r>
        <w:rPr>
          <w:b/>
          <w:bCs/>
          <w:sz w:val="22"/>
          <w:szCs w:val="22"/>
        </w:rPr>
        <w:br/>
      </w:r>
      <w:r>
        <w:rPr>
          <w:b/>
          <w:bCs/>
          <w:sz w:val="22"/>
          <w:szCs w:val="22"/>
          <w:lang w:val="it-IT"/>
        </w:rPr>
        <w:t>Abbreviations.</w:t>
      </w:r>
      <w:r>
        <w:rPr>
          <w:b/>
          <w:bCs/>
          <w:sz w:val="22"/>
          <w:szCs w:val="22"/>
        </w:rPr>
        <w:br/>
      </w:r>
      <w:r>
        <w:rPr>
          <w:sz w:val="22"/>
          <w:szCs w:val="22"/>
          <w:lang w:val="en-US"/>
        </w:rPr>
        <w:t xml:space="preserve">VT (Ventricular Tachycardia), ICD (Implantable Cardioverter-Defibrillator), MI (Myocardial Infarction), </w:t>
      </w:r>
      <w:r>
        <w:rPr>
          <w:sz w:val="22"/>
          <w:szCs w:val="22"/>
          <w:lang w:val="en-US"/>
        </w:rPr>
        <w:lastRenderedPageBreak/>
        <w:t xml:space="preserve">STEMI (ST-Elevation MI), MACE (Major Adverse Cardiac Events), CS (Cardiogenic Shock), AHF (Acute Heart Failure), MCS (Mechanical Circulatory Support), CABG (Coronary Artery Bypass Graft), PCI (Percutaneous Coronary Intervention), COPD (Chronic Obstructive Pulmonary Disease), CKD (Chronic Kidney Disease), ESRD (End-Stage Renal Disease), DCM (Dilated Cardiomyopathy), HCM (Hypertrophic Cardiomyopathy), LOS (Length of Stay), NIS (National Inpatient Sample), HCUP (Healthcare Cost and Utilization Project), ICD-10-CM (International Classification of Diseases, 10th Revision), IRB (Institutional Review Board), OR (Odds Ratio), </w:t>
      </w:r>
      <w:proofErr w:type="spellStart"/>
      <w:r>
        <w:rPr>
          <w:sz w:val="22"/>
          <w:szCs w:val="22"/>
          <w:lang w:val="en-US"/>
        </w:rPr>
        <w:t>aOR</w:t>
      </w:r>
      <w:proofErr w:type="spellEnd"/>
      <w:r>
        <w:rPr>
          <w:sz w:val="22"/>
          <w:szCs w:val="22"/>
          <w:lang w:val="en-US"/>
        </w:rPr>
        <w:t xml:space="preserve"> (Adjusted OR), CI (Confidence Interval), SMD (Standardized Mean Difference), ICE (Intracardiac Echocardiography), NYHA (New York Heart Association), LV (Left Ventricle), VA-ECMO (Veno-Arterial Extracorporeal Membrane Oxygenation), ACC (American College of Cardiology), AHA (American Heart Association), ESC (European Society of Cardiology), EP (Electrophysiology), JACC (Journal of the American College of Cardiology).</w:t>
      </w:r>
      <w:r>
        <w:rPr>
          <w:sz w:val="22"/>
          <w:szCs w:val="22"/>
        </w:rPr>
        <w:br/>
      </w:r>
      <w:r>
        <w:rPr>
          <w:b/>
          <w:bCs/>
          <w:sz w:val="22"/>
          <w:szCs w:val="22"/>
          <w:lang w:val="en-US"/>
        </w:rPr>
        <w:t>Ethics Approval and Consent to Participate.</w:t>
      </w:r>
      <w:r>
        <w:rPr>
          <w:b/>
          <w:bCs/>
          <w:sz w:val="22"/>
          <w:szCs w:val="22"/>
        </w:rPr>
        <w:br/>
      </w:r>
      <w:r>
        <w:rPr>
          <w:sz w:val="22"/>
          <w:szCs w:val="22"/>
          <w:lang w:val="en-US"/>
        </w:rPr>
        <w:t>This study used de-identified, publicly available data from the National Inpatient Sample (NIS) database. Therefore, institutional review board (IRB) approval and informed consent were not required in accordance with the policies of the Healthcare Cost and Utilization Project (HCUP).</w:t>
      </w:r>
      <w:r>
        <w:rPr>
          <w:sz w:val="22"/>
          <w:szCs w:val="22"/>
        </w:rPr>
        <w:br/>
      </w:r>
      <w:r>
        <w:rPr>
          <w:b/>
          <w:bCs/>
          <w:sz w:val="22"/>
          <w:szCs w:val="22"/>
          <w:lang w:val="en-US"/>
        </w:rPr>
        <w:t>Consent for Publication.</w:t>
      </w:r>
      <w:r>
        <w:rPr>
          <w:b/>
          <w:bCs/>
          <w:sz w:val="22"/>
          <w:szCs w:val="22"/>
        </w:rPr>
        <w:br/>
      </w:r>
      <w:r>
        <w:rPr>
          <w:sz w:val="22"/>
          <w:szCs w:val="22"/>
          <w:lang w:val="en-US"/>
        </w:rPr>
        <w:t>Not applicable.</w:t>
      </w:r>
      <w:r>
        <w:rPr>
          <w:sz w:val="22"/>
          <w:szCs w:val="22"/>
        </w:rPr>
        <w:br/>
      </w:r>
      <w:r>
        <w:rPr>
          <w:b/>
          <w:bCs/>
          <w:sz w:val="22"/>
          <w:szCs w:val="22"/>
          <w:lang w:val="en-US"/>
        </w:rPr>
        <w:t>Availability of Data and Materials.</w:t>
      </w:r>
      <w:r>
        <w:rPr>
          <w:b/>
          <w:bCs/>
          <w:sz w:val="22"/>
          <w:szCs w:val="22"/>
        </w:rPr>
        <w:br/>
      </w:r>
      <w:r>
        <w:rPr>
          <w:sz w:val="22"/>
          <w:szCs w:val="22"/>
          <w:lang w:val="en-US"/>
        </w:rPr>
        <w:t xml:space="preserve">The data supporting the findings of this study are publicly available from the National Inpatient Sample (NIS) via the Healthcare Cost and Utilization Project (HCUP) at: </w:t>
      </w:r>
      <w:hyperlink r:id="rId51" w:history="1">
        <w:r>
          <w:rPr>
            <w:rStyle w:val="Hyperlink0"/>
            <w:lang w:val="en-US"/>
          </w:rPr>
          <w:t>https://www.hcup-us.ahrq.gov/nisoverview.jsp</w:t>
        </w:r>
      </w:hyperlink>
      <w:r>
        <w:rPr>
          <w:rStyle w:val="None"/>
          <w:sz w:val="22"/>
          <w:szCs w:val="22"/>
        </w:rPr>
        <w:br/>
      </w:r>
      <w:r>
        <w:rPr>
          <w:rStyle w:val="None"/>
          <w:b/>
          <w:bCs/>
          <w:sz w:val="22"/>
          <w:szCs w:val="22"/>
          <w:lang w:val="en-US"/>
        </w:rPr>
        <w:t>Competing Interests.</w:t>
      </w:r>
      <w:r>
        <w:rPr>
          <w:rStyle w:val="None"/>
          <w:b/>
          <w:bCs/>
          <w:sz w:val="22"/>
          <w:szCs w:val="22"/>
        </w:rPr>
        <w:br/>
      </w:r>
      <w:r>
        <w:rPr>
          <w:rStyle w:val="None"/>
          <w:sz w:val="22"/>
          <w:szCs w:val="22"/>
          <w:lang w:val="en-US"/>
        </w:rPr>
        <w:t>The authors declare that they have no competing interests.</w:t>
      </w:r>
      <w:r>
        <w:rPr>
          <w:rStyle w:val="None"/>
          <w:sz w:val="22"/>
          <w:szCs w:val="22"/>
        </w:rPr>
        <w:br/>
      </w:r>
      <w:r>
        <w:rPr>
          <w:rStyle w:val="None"/>
          <w:b/>
          <w:bCs/>
          <w:sz w:val="22"/>
          <w:szCs w:val="22"/>
        </w:rPr>
        <w:t>Funding.</w:t>
      </w:r>
      <w:r>
        <w:rPr>
          <w:rStyle w:val="None"/>
          <w:b/>
          <w:bCs/>
          <w:sz w:val="22"/>
          <w:szCs w:val="22"/>
        </w:rPr>
        <w:br/>
      </w:r>
      <w:r>
        <w:rPr>
          <w:rStyle w:val="None"/>
          <w:sz w:val="22"/>
          <w:szCs w:val="22"/>
          <w:lang w:val="en-US"/>
        </w:rPr>
        <w:t>The authors did not receive any funding for this study.</w:t>
      </w:r>
      <w:r>
        <w:rPr>
          <w:rStyle w:val="None"/>
          <w:sz w:val="22"/>
          <w:szCs w:val="22"/>
        </w:rPr>
        <w:br/>
      </w:r>
      <w:r>
        <w:rPr>
          <w:rStyle w:val="None"/>
          <w:b/>
          <w:bCs/>
          <w:sz w:val="22"/>
          <w:szCs w:val="22"/>
          <w:lang w:val="it-IT"/>
        </w:rPr>
        <w:lastRenderedPageBreak/>
        <w:t xml:space="preserve">Artificial Intelligence(AI) </w:t>
      </w:r>
      <w:r>
        <w:rPr>
          <w:rStyle w:val="None"/>
          <w:b/>
          <w:bCs/>
          <w:sz w:val="22"/>
          <w:szCs w:val="22"/>
          <w:lang w:val="en-US"/>
        </w:rPr>
        <w:t>Use</w:t>
      </w:r>
      <w:r>
        <w:rPr>
          <w:rStyle w:val="None"/>
          <w:b/>
          <w:bCs/>
          <w:sz w:val="22"/>
          <w:szCs w:val="22"/>
        </w:rPr>
        <w:t>.</w:t>
      </w:r>
      <w:r>
        <w:rPr>
          <w:rStyle w:val="None"/>
          <w:sz w:val="22"/>
          <w:szCs w:val="22"/>
        </w:rPr>
        <w:br/>
      </w:r>
      <w:r>
        <w:rPr>
          <w:rStyle w:val="None"/>
          <w:sz w:val="22"/>
          <w:szCs w:val="22"/>
          <w:lang w:val="en-US"/>
        </w:rPr>
        <w:t>An AI language model (ChatGPT, OpenAI) was used for language refinement and editing only. All scientific content and interpretations were generated and validated by the authors.</w:t>
      </w:r>
      <w:r>
        <w:rPr>
          <w:rStyle w:val="None"/>
          <w:sz w:val="22"/>
          <w:szCs w:val="22"/>
        </w:rPr>
        <w:br/>
      </w:r>
      <w:r>
        <w:rPr>
          <w:rStyle w:val="None"/>
          <w:b/>
          <w:bCs/>
          <w:sz w:val="22"/>
          <w:szCs w:val="22"/>
          <w:lang w:val="en-US"/>
        </w:rPr>
        <w:t>Authors' Contributions.</w:t>
      </w:r>
      <w:r>
        <w:rPr>
          <w:rStyle w:val="None"/>
          <w:b/>
          <w:bCs/>
          <w:sz w:val="22"/>
          <w:szCs w:val="22"/>
        </w:rPr>
        <w:br/>
      </w:r>
      <w:r w:rsidRPr="00AA6610">
        <w:rPr>
          <w:rStyle w:val="None"/>
          <w:sz w:val="22"/>
          <w:szCs w:val="22"/>
          <w:highlight w:val="black"/>
          <w:shd w:val="clear" w:color="auto" w:fill="FFFFFF"/>
          <w:lang w:val="en-US"/>
        </w:rPr>
        <w:t xml:space="preserve">Ali Saad Al-Shammari and Yasar Sattar conceived the study, designed the methodology, and led the manuscript drafting. Ankur Singla and Keerat Rai Ahuja conducted data analysis and statistical modeling. Ameer </w:t>
      </w:r>
      <w:proofErr w:type="spellStart"/>
      <w:r w:rsidRPr="00AA6610">
        <w:rPr>
          <w:rStyle w:val="None"/>
          <w:sz w:val="22"/>
          <w:szCs w:val="22"/>
          <w:highlight w:val="black"/>
          <w:shd w:val="clear" w:color="auto" w:fill="FFFFFF"/>
          <w:lang w:val="en-US"/>
        </w:rPr>
        <w:t>Awashra</w:t>
      </w:r>
      <w:proofErr w:type="spellEnd"/>
      <w:r w:rsidRPr="00AA6610">
        <w:rPr>
          <w:rStyle w:val="None"/>
          <w:sz w:val="22"/>
          <w:szCs w:val="22"/>
          <w:highlight w:val="black"/>
          <w:shd w:val="clear" w:color="auto" w:fill="FFFFFF"/>
          <w:lang w:val="en-US"/>
        </w:rPr>
        <w:t xml:space="preserve">, </w:t>
      </w:r>
      <w:proofErr w:type="spellStart"/>
      <w:r w:rsidRPr="00AA6610">
        <w:rPr>
          <w:rStyle w:val="None"/>
          <w:sz w:val="22"/>
          <w:szCs w:val="22"/>
          <w:highlight w:val="black"/>
          <w:shd w:val="clear" w:color="auto" w:fill="FFFFFF"/>
          <w:lang w:val="en-US"/>
        </w:rPr>
        <w:t>Adishwar</w:t>
      </w:r>
      <w:proofErr w:type="spellEnd"/>
      <w:r w:rsidRPr="00AA6610">
        <w:rPr>
          <w:rStyle w:val="None"/>
          <w:sz w:val="22"/>
          <w:szCs w:val="22"/>
          <w:highlight w:val="black"/>
          <w:shd w:val="clear" w:color="auto" w:fill="FFFFFF"/>
          <w:lang w:val="en-US"/>
        </w:rPr>
        <w:t xml:space="preserve"> Rao, and Ahmed Sarmed Al Sakini contributed to data acquisition and interpretation. Ahmed Al-Kaisey, Tarique Ahmed, and Sima Rawal assisted with literature review, critical revisions, and data validation. Mohammed Saifuddin, Mohamed Wagdy, and Muhammad Bilal Munir provided clinical expertise and reviewed the manuscript for intellectual content. Saif Syed supported manuscript formatting and final editing. All authors reviewed and approved the final manuscript.</w:t>
      </w:r>
      <w:r>
        <w:rPr>
          <w:rStyle w:val="None"/>
          <w:b/>
          <w:bCs/>
          <w:sz w:val="22"/>
          <w:szCs w:val="22"/>
          <w:shd w:val="clear" w:color="auto" w:fill="FFFFFF"/>
        </w:rPr>
        <w:br/>
      </w:r>
      <w:r>
        <w:rPr>
          <w:rStyle w:val="None"/>
          <w:b/>
          <w:bCs/>
          <w:sz w:val="22"/>
          <w:szCs w:val="22"/>
          <w:lang w:val="en-US"/>
        </w:rPr>
        <w:t>Acknowledgements.</w:t>
      </w:r>
      <w:r>
        <w:rPr>
          <w:rStyle w:val="None"/>
          <w:b/>
          <w:bCs/>
          <w:sz w:val="22"/>
          <w:szCs w:val="22"/>
        </w:rPr>
        <w:br/>
      </w:r>
      <w:r>
        <w:rPr>
          <w:rStyle w:val="None"/>
          <w:sz w:val="22"/>
          <w:szCs w:val="22"/>
          <w:lang w:val="en-US"/>
        </w:rPr>
        <w:t>Not applicable.</w:t>
      </w:r>
      <w:r>
        <w:rPr>
          <w:rStyle w:val="None"/>
          <w:sz w:val="22"/>
          <w:szCs w:val="22"/>
        </w:rPr>
        <w:br/>
      </w:r>
      <w:r>
        <w:rPr>
          <w:rStyle w:val="None"/>
          <w:b/>
          <w:bCs/>
          <w:lang w:val="pt-PT"/>
        </w:rPr>
        <w:t>References.</w:t>
      </w:r>
    </w:p>
    <w:p w14:paraId="6E517E2E" w14:textId="77777777" w:rsidR="00A34650" w:rsidRDefault="00000000">
      <w:pPr>
        <w:pStyle w:val="Body"/>
        <w:widowControl w:val="0"/>
        <w:spacing w:line="276" w:lineRule="auto"/>
        <w:ind w:left="584"/>
        <w:rPr>
          <w:rStyle w:val="Hyperlink1"/>
        </w:rPr>
      </w:pPr>
      <w:hyperlink r:id="rId52" w:history="1">
        <w:r>
          <w:rPr>
            <w:rStyle w:val="Hyperlink1"/>
            <w:lang w:val="en-US"/>
          </w:rPr>
          <w:t>[1]</w:t>
        </w:r>
        <w:r>
          <w:rPr>
            <w:rStyle w:val="Hyperlink1"/>
            <w:lang w:val="en-US"/>
          </w:rPr>
          <w:tab/>
          <w:t>Al-Khatib SM, Stevenson WG, Ackerman MJ, Bryant WJ, Callans DJ, Curtis AB, et al. 2017 AHA/ACC/HRS guideline for management of patients with ventricular arrhythmias and the prevention of sudden cardiac death: executive summary: A report of the american college of cardiology/american heart association task force on clinical practice guidelines and the heart rhythm society. J Am Coll Cardiol 2018;72:1677</w:t>
        </w:r>
        <w:r>
          <w:rPr>
            <w:rStyle w:val="Hyperlink1"/>
          </w:rPr>
          <w:t>–749. https://doi.org/10.1016/j.jacc.2017.10.053.</w:t>
        </w:r>
      </w:hyperlink>
    </w:p>
    <w:p w14:paraId="476290EA" w14:textId="77777777" w:rsidR="00A34650" w:rsidRDefault="00000000">
      <w:pPr>
        <w:pStyle w:val="Body"/>
        <w:widowControl w:val="0"/>
        <w:spacing w:line="276" w:lineRule="auto"/>
        <w:ind w:left="584"/>
        <w:rPr>
          <w:rStyle w:val="Hyperlink1"/>
        </w:rPr>
      </w:pPr>
      <w:hyperlink r:id="rId53" w:history="1">
        <w:r>
          <w:rPr>
            <w:rStyle w:val="Hyperlink1"/>
            <w:lang w:val="pt-PT"/>
          </w:rPr>
          <w:t>[2]</w:t>
        </w:r>
        <w:r>
          <w:rPr>
            <w:rStyle w:val="Hyperlink1"/>
            <w:lang w:val="pt-PT"/>
          </w:rPr>
          <w:tab/>
          <w:t>Kuck K-H, Schaumann A, Eckardt L, Willems S, Ventura R, Delacr</w:t>
        </w:r>
        <w:r>
          <w:rPr>
            <w:rStyle w:val="Hyperlink1"/>
            <w:lang w:val="fr-FR"/>
          </w:rPr>
          <w:t>é</w:t>
        </w:r>
        <w:r>
          <w:rPr>
            <w:rStyle w:val="Hyperlink1"/>
            <w:lang w:val="en-US"/>
          </w:rPr>
          <w:t>taz E, et al. Catheter ablation of stable ventricular tachycardia before defibrillator implantation in patients with coronary heart disease (VTACH): a multicentre randomised controlled trial. Lancet 2010;375:31</w:t>
        </w:r>
        <w:r>
          <w:rPr>
            <w:rStyle w:val="Hyperlink1"/>
          </w:rPr>
          <w:t>–</w:t>
        </w:r>
        <w:r>
          <w:rPr>
            <w:rStyle w:val="Hyperlink1"/>
            <w:lang w:val="en-US"/>
          </w:rPr>
          <w:t>40. https://doi.org/10.1016/S0140-6736(09)61755-4.</w:t>
        </w:r>
      </w:hyperlink>
    </w:p>
    <w:p w14:paraId="2B5E318F" w14:textId="77777777" w:rsidR="00A34650" w:rsidRDefault="00000000">
      <w:pPr>
        <w:pStyle w:val="Body"/>
        <w:widowControl w:val="0"/>
        <w:spacing w:line="276" w:lineRule="auto"/>
        <w:ind w:left="584"/>
        <w:rPr>
          <w:rStyle w:val="Hyperlink1"/>
        </w:rPr>
      </w:pPr>
      <w:hyperlink r:id="rId54" w:history="1">
        <w:r>
          <w:rPr>
            <w:rStyle w:val="Hyperlink1"/>
            <w:lang w:val="en-US"/>
          </w:rPr>
          <w:t>[3]</w:t>
        </w:r>
        <w:r>
          <w:rPr>
            <w:rStyle w:val="Hyperlink1"/>
            <w:lang w:val="en-US"/>
          </w:rPr>
          <w:tab/>
          <w:t>Sapp JL, Wells GA, Parkash R, Stevenson WG, Blier L, Sarrazin J-F, et al. Ventricular Tachycardia Ablation versus Escalation of Antiarrhythmic Drugs. N Engl J Med 2016;375:111</w:t>
        </w:r>
        <w:r>
          <w:rPr>
            <w:rStyle w:val="Hyperlink1"/>
          </w:rPr>
          <w:t>–</w:t>
        </w:r>
        <w:r>
          <w:rPr>
            <w:rStyle w:val="Hyperlink1"/>
            <w:lang w:val="en-US"/>
          </w:rPr>
          <w:t>21. https://doi.org/10.1056/NEJMoa1513614.</w:t>
        </w:r>
      </w:hyperlink>
    </w:p>
    <w:p w14:paraId="579FF88A" w14:textId="77777777" w:rsidR="00A34650" w:rsidRDefault="00000000">
      <w:pPr>
        <w:pStyle w:val="Body"/>
        <w:widowControl w:val="0"/>
        <w:spacing w:line="276" w:lineRule="auto"/>
        <w:ind w:left="584"/>
        <w:rPr>
          <w:rStyle w:val="Hyperlink1"/>
        </w:rPr>
      </w:pPr>
      <w:hyperlink r:id="rId55" w:history="1">
        <w:r>
          <w:rPr>
            <w:rStyle w:val="Hyperlink1"/>
            <w:lang w:val="en-US"/>
          </w:rPr>
          <w:t>[4]</w:t>
        </w:r>
        <w:r>
          <w:rPr>
            <w:rStyle w:val="Hyperlink1"/>
            <w:lang w:val="en-US"/>
          </w:rPr>
          <w:tab/>
          <w:t>Santangeli P, Tung R, Xue Y, Chung F-P, Lin Y-J, Di Biase L, et al. Outcomes of catheter ablation in arrhythmogenic right ventricular cardiomyopathy without background implantable cardioverter defibrillator therapy: A multicenter international ventricular tachycardia registry. JACC Clin Electrophysiol 2019;5:55</w:t>
        </w:r>
        <w:r>
          <w:rPr>
            <w:rStyle w:val="Hyperlink1"/>
          </w:rPr>
          <w:t>–65. https://doi.org/10.1016/j.jacep.2018.09.019.</w:t>
        </w:r>
      </w:hyperlink>
    </w:p>
    <w:p w14:paraId="2F0EABD0" w14:textId="77777777" w:rsidR="00A34650" w:rsidRDefault="00000000">
      <w:pPr>
        <w:pStyle w:val="Body"/>
        <w:widowControl w:val="0"/>
        <w:spacing w:line="276" w:lineRule="auto"/>
        <w:ind w:left="584"/>
        <w:rPr>
          <w:rStyle w:val="Hyperlink1"/>
        </w:rPr>
      </w:pPr>
      <w:hyperlink r:id="rId56" w:history="1">
        <w:r>
          <w:rPr>
            <w:rStyle w:val="Hyperlink1"/>
            <w:lang w:val="en-US"/>
          </w:rPr>
          <w:t>[5]</w:t>
        </w:r>
        <w:r>
          <w:rPr>
            <w:rStyle w:val="Hyperlink1"/>
            <w:lang w:val="en-US"/>
          </w:rPr>
          <w:tab/>
          <w:t>Li L, Ding L, Wu L, Zheng L, Zhou L, Zhang Z, et al. Efficacy of catheter ablation for ventricular tachycardia in ischemic cardiomyopathy patients without an ICD implantation. Heart Rhythm 2024;21:2148</w:t>
        </w:r>
        <w:r>
          <w:rPr>
            <w:rStyle w:val="Hyperlink1"/>
          </w:rPr>
          <w:t>–56. https://doi.org/10.1016/j.hrthm.2024.05.011.</w:t>
        </w:r>
      </w:hyperlink>
    </w:p>
    <w:p w14:paraId="60E210B2" w14:textId="77777777" w:rsidR="00A34650" w:rsidRDefault="00000000">
      <w:pPr>
        <w:pStyle w:val="Body"/>
        <w:widowControl w:val="0"/>
        <w:spacing w:line="276" w:lineRule="auto"/>
        <w:ind w:left="584"/>
        <w:rPr>
          <w:rStyle w:val="Hyperlink1"/>
        </w:rPr>
      </w:pPr>
      <w:hyperlink r:id="rId57" w:history="1">
        <w:r>
          <w:rPr>
            <w:rStyle w:val="Hyperlink1"/>
            <w:lang w:val="pt-PT"/>
          </w:rPr>
          <w:t>[6]</w:t>
        </w:r>
        <w:r>
          <w:rPr>
            <w:rStyle w:val="Hyperlink1"/>
            <w:lang w:val="pt-PT"/>
          </w:rPr>
          <w:tab/>
          <w:t>Middelfart C, T</w:t>
        </w:r>
        <w:r>
          <w:rPr>
            <w:rStyle w:val="Hyperlink1"/>
            <w:lang w:val="da-DK"/>
          </w:rPr>
          <w:t>ø</w:t>
        </w:r>
        <w:r>
          <w:rPr>
            <w:rStyle w:val="Hyperlink1"/>
          </w:rPr>
          <w:t>nnesen J, Z</w:t>
        </w:r>
        <w:r>
          <w:rPr>
            <w:rStyle w:val="Hyperlink1"/>
            <w:lang w:val="sv-SE"/>
          </w:rPr>
          <w:t>ö</w:t>
        </w:r>
        <w:r>
          <w:rPr>
            <w:rStyle w:val="Hyperlink1"/>
            <w:lang w:val="en-US"/>
          </w:rPr>
          <w:t xml:space="preserve">rner CR, Da Riis-Vestergaard L, Pham MHX, Pallisgaard </w:t>
        </w:r>
        <w:r>
          <w:rPr>
            <w:rStyle w:val="Hyperlink1"/>
            <w:lang w:val="en-US"/>
          </w:rPr>
          <w:lastRenderedPageBreak/>
          <w:t>JL, et al. Two decades of SVT ablation in Denmark: a trend towards higher age, more comorbidity, and less prior use of antiarrhythmic and rate-limiting pharmacotherapy-a nationwide registry-based Danish study. J Interv Card Electrophysiol 2024;67:837</w:t>
        </w:r>
        <w:r>
          <w:rPr>
            <w:rStyle w:val="Hyperlink1"/>
          </w:rPr>
          <w:t>–</w:t>
        </w:r>
        <w:r>
          <w:rPr>
            <w:rStyle w:val="Hyperlink1"/>
            <w:lang w:val="en-US"/>
          </w:rPr>
          <w:t>46. https://doi.org/10.1007/s10840-023-01692-9.</w:t>
        </w:r>
      </w:hyperlink>
    </w:p>
    <w:p w14:paraId="5BA7571A" w14:textId="77777777" w:rsidR="00A34650" w:rsidRDefault="00000000">
      <w:pPr>
        <w:pStyle w:val="Body"/>
        <w:widowControl w:val="0"/>
        <w:spacing w:line="276" w:lineRule="auto"/>
        <w:ind w:left="584"/>
        <w:rPr>
          <w:rStyle w:val="Hyperlink1"/>
        </w:rPr>
      </w:pPr>
      <w:hyperlink r:id="rId58" w:history="1">
        <w:r>
          <w:rPr>
            <w:rStyle w:val="Hyperlink1"/>
            <w:lang w:val="en-US"/>
          </w:rPr>
          <w:t>[7]</w:t>
        </w:r>
        <w:r>
          <w:rPr>
            <w:rStyle w:val="Hyperlink1"/>
            <w:lang w:val="en-US"/>
          </w:rPr>
          <w:tab/>
          <w:t>Ferraro B, Thwe EE, Shah K, Modi V, Stevens S, Shirani J. Abstract 12155: Trends in Catheter Ablation of Ventricular Tachycardia in Patients With Ischemic and Nonischemic Cardiomyopathy: A National Inpatient Sample Trend in the Years 2016-2019. Circulation 2022;146. https://doi.org/10.1161/circ.146.suppl_1.12155.</w:t>
        </w:r>
      </w:hyperlink>
    </w:p>
    <w:p w14:paraId="3DC56380" w14:textId="77777777" w:rsidR="00A34650" w:rsidRDefault="00000000">
      <w:pPr>
        <w:pStyle w:val="Body"/>
        <w:widowControl w:val="0"/>
        <w:spacing w:line="276" w:lineRule="auto"/>
        <w:ind w:left="584"/>
        <w:rPr>
          <w:rStyle w:val="Hyperlink1"/>
        </w:rPr>
      </w:pPr>
      <w:hyperlink r:id="rId59" w:history="1">
        <w:r>
          <w:rPr>
            <w:rStyle w:val="Hyperlink1"/>
            <w:lang w:val="en-US"/>
          </w:rPr>
          <w:t>[8]</w:t>
        </w:r>
        <w:r>
          <w:rPr>
            <w:rStyle w:val="Hyperlink1"/>
            <w:lang w:val="en-US"/>
          </w:rPr>
          <w:tab/>
          <w:t>Sheffeh MA, Sheffeh J, Baqal O, Waqas S, Vuppuluri N, Cieslak R, et al. Abstract 4144666: Outcomes of Ventricular Tachycardia Ablation Among Patients with Chronic Kidney Disease: Insights from the National Inpatient Sample Database 2018-2021. Circulation 2024;150. https://doi.org/10.1161/circ.150.suppl_1.4144666.</w:t>
        </w:r>
      </w:hyperlink>
    </w:p>
    <w:p w14:paraId="58870448" w14:textId="77777777" w:rsidR="00A34650" w:rsidRDefault="00000000">
      <w:pPr>
        <w:pStyle w:val="Body"/>
        <w:widowControl w:val="0"/>
        <w:spacing w:line="276" w:lineRule="auto"/>
        <w:ind w:left="584"/>
        <w:rPr>
          <w:rStyle w:val="Hyperlink1"/>
        </w:rPr>
      </w:pPr>
      <w:hyperlink r:id="rId60" w:history="1">
        <w:r>
          <w:rPr>
            <w:rStyle w:val="Hyperlink1"/>
            <w:lang w:val="pt-PT"/>
          </w:rPr>
          <w:t>[9]</w:t>
        </w:r>
        <w:r>
          <w:rPr>
            <w:rStyle w:val="Hyperlink1"/>
            <w:lang w:val="pt-PT"/>
          </w:rPr>
          <w:tab/>
          <w:t>K</w:t>
        </w:r>
        <w:r>
          <w:rPr>
            <w:rStyle w:val="Hyperlink1"/>
            <w:lang w:val="sv-SE"/>
          </w:rPr>
          <w:t>ö</w:t>
        </w:r>
        <w:r>
          <w:rPr>
            <w:rStyle w:val="Hyperlink1"/>
            <w:lang w:val="en-US"/>
          </w:rPr>
          <w:t>nemann H, Ellermann C, Zeppenfeld K, Eckardt L. Management of ventricular arrhythmias</w:t>
        </w:r>
        <w:r>
          <w:rPr>
            <w:rStyle w:val="Hyperlink1"/>
          </w:rPr>
          <w:t> </w:t>
        </w:r>
        <w:r>
          <w:rPr>
            <w:rStyle w:val="Hyperlink1"/>
            <w:lang w:val="en-US"/>
          </w:rPr>
          <w:t>worldwide: comparison of the latest ESC, AHA/ACC/HRS, and CCS/CHRS guidelines. JACC Clin Electrophysiol 2023;9:715</w:t>
        </w:r>
        <w:r>
          <w:rPr>
            <w:rStyle w:val="Hyperlink1"/>
          </w:rPr>
          <w:t>–28. https://doi.org/10.1016/j.jacep.2022.12.008.</w:t>
        </w:r>
      </w:hyperlink>
    </w:p>
    <w:p w14:paraId="4EBC35BE" w14:textId="77777777" w:rsidR="00A34650" w:rsidRDefault="00000000">
      <w:pPr>
        <w:pStyle w:val="Body"/>
        <w:widowControl w:val="0"/>
        <w:spacing w:line="276" w:lineRule="auto"/>
        <w:ind w:left="584"/>
        <w:rPr>
          <w:rStyle w:val="Hyperlink1"/>
        </w:rPr>
      </w:pPr>
      <w:hyperlink r:id="rId61" w:history="1">
        <w:r>
          <w:rPr>
            <w:rStyle w:val="Hyperlink1"/>
            <w:lang w:val="en-US"/>
          </w:rPr>
          <w:t>[10]</w:t>
        </w:r>
        <w:r>
          <w:rPr>
            <w:rStyle w:val="Hyperlink1"/>
            <w:lang w:val="en-US"/>
          </w:rPr>
          <w:tab/>
          <w:t>Tang AB, Akinrimisi OP, Ziaeian B. Sex, Race, and Rural-Urban Disparities in Ventricular Tachycardia Ablations. JACC Clin Electrophysiol 2024;10:2148</w:t>
        </w:r>
        <w:r>
          <w:rPr>
            <w:rStyle w:val="Hyperlink1"/>
          </w:rPr>
          <w:t>–</w:t>
        </w:r>
        <w:r>
          <w:rPr>
            <w:rStyle w:val="Hyperlink1"/>
            <w:lang w:val="en-US"/>
          </w:rPr>
          <w:t>54. https://doi.org/10.1016/j.jacep.2024.05.033.</w:t>
        </w:r>
      </w:hyperlink>
    </w:p>
    <w:p w14:paraId="25668FF8" w14:textId="77777777" w:rsidR="00A34650" w:rsidRDefault="00000000">
      <w:pPr>
        <w:pStyle w:val="Body"/>
        <w:widowControl w:val="0"/>
        <w:spacing w:line="276" w:lineRule="auto"/>
        <w:ind w:left="584"/>
        <w:rPr>
          <w:rStyle w:val="Hyperlink1"/>
        </w:rPr>
      </w:pPr>
      <w:hyperlink r:id="rId62" w:history="1">
        <w:r>
          <w:rPr>
            <w:rStyle w:val="Hyperlink1"/>
            <w:lang w:val="en-US"/>
          </w:rPr>
          <w:t>[11]</w:t>
        </w:r>
        <w:r>
          <w:rPr>
            <w:rStyle w:val="Hyperlink1"/>
            <w:lang w:val="en-US"/>
          </w:rPr>
          <w:tab/>
          <w:t>Morcos R, Malik S, Hanna P, Barakat A, Al Taii H, Di Biase L, et al. Ventricular tachycardia ablation across age groups: Outcomes, trends and demographics. Insights from the National Inpatient Sample Database. Heart Rhythm O2 2024;5:900</w:t>
        </w:r>
        <w:r>
          <w:rPr>
            <w:rStyle w:val="Hyperlink1"/>
          </w:rPr>
          <w:t>–</w:t>
        </w:r>
        <w:r>
          <w:rPr>
            <w:rStyle w:val="Hyperlink1"/>
            <w:lang w:val="en-US"/>
          </w:rPr>
          <w:t>9. https://doi.org/10.1016/j.hroo.2024.09.014.</w:t>
        </w:r>
      </w:hyperlink>
    </w:p>
    <w:p w14:paraId="6AADDDAE" w14:textId="77777777" w:rsidR="00A34650" w:rsidRDefault="00000000">
      <w:pPr>
        <w:pStyle w:val="Body"/>
        <w:widowControl w:val="0"/>
        <w:spacing w:line="276" w:lineRule="auto"/>
        <w:ind w:left="584"/>
        <w:rPr>
          <w:rStyle w:val="Hyperlink1"/>
        </w:rPr>
      </w:pPr>
      <w:hyperlink r:id="rId63" w:history="1">
        <w:r>
          <w:rPr>
            <w:rStyle w:val="Hyperlink1"/>
            <w:lang w:val="pt-PT"/>
          </w:rPr>
          <w:t>[12]</w:t>
        </w:r>
        <w:r>
          <w:rPr>
            <w:rStyle w:val="Hyperlink1"/>
            <w:lang w:val="pt-PT"/>
          </w:rPr>
          <w:tab/>
          <w:t>Yousuf OK, Zusterzeel R, Sanders W, Ca</w:t>
        </w:r>
        <w:r>
          <w:rPr>
            <w:rStyle w:val="Hyperlink1"/>
            <w:lang w:val="es-ES_tradnl"/>
          </w:rPr>
          <w:t>ñ</w:t>
        </w:r>
        <w:r>
          <w:rPr>
            <w:rStyle w:val="Hyperlink1"/>
            <w:lang w:val="en-US"/>
          </w:rPr>
          <w:t>os D, Dekmezian C, Silverman H, et al. Trends and outcomes of catheter ablation for ventricular tachycardia in a community cohort. JACC Clin Electrophysiol 2018;4:1189</w:t>
        </w:r>
        <w:r>
          <w:rPr>
            <w:rStyle w:val="Hyperlink1"/>
          </w:rPr>
          <w:t>–99. https://doi.org/10.1016/j.jacep.2018.06.020.</w:t>
        </w:r>
      </w:hyperlink>
    </w:p>
    <w:p w14:paraId="2B1E4C15" w14:textId="77777777" w:rsidR="00A34650" w:rsidRDefault="00000000">
      <w:pPr>
        <w:pStyle w:val="Body"/>
        <w:widowControl w:val="0"/>
        <w:spacing w:line="276" w:lineRule="auto"/>
        <w:ind w:left="584"/>
        <w:rPr>
          <w:rStyle w:val="Hyperlink1"/>
        </w:rPr>
      </w:pPr>
      <w:hyperlink r:id="rId64" w:history="1">
        <w:r>
          <w:rPr>
            <w:rStyle w:val="Hyperlink1"/>
            <w:lang w:val="en-US"/>
          </w:rPr>
          <w:t>[13]</w:t>
        </w:r>
        <w:r>
          <w:rPr>
            <w:rStyle w:val="Hyperlink1"/>
            <w:lang w:val="en-US"/>
          </w:rPr>
          <w:tab/>
          <w:t>Katz DF, Turakhia MP, Sauer WH, Tzou WS, Heath RR, Zipse MM, et al. Safety of ventricular tachycardia ablation in clinical practice: findings from 9699 hospital discharge records. Circ Arrhythm Electrophysiol 2015;8:362</w:t>
        </w:r>
        <w:r>
          <w:rPr>
            <w:rStyle w:val="Hyperlink1"/>
          </w:rPr>
          <w:t>–</w:t>
        </w:r>
        <w:r>
          <w:rPr>
            <w:rStyle w:val="Hyperlink1"/>
            <w:lang w:val="en-US"/>
          </w:rPr>
          <w:t>70. https://doi.org/10.1161/CIRCEP.114.002336.</w:t>
        </w:r>
      </w:hyperlink>
    </w:p>
    <w:p w14:paraId="44597C5F" w14:textId="77777777" w:rsidR="00A34650" w:rsidRDefault="00000000">
      <w:pPr>
        <w:pStyle w:val="Body"/>
        <w:widowControl w:val="0"/>
        <w:spacing w:line="276" w:lineRule="auto"/>
        <w:ind w:left="584"/>
        <w:rPr>
          <w:rStyle w:val="Hyperlink1"/>
        </w:rPr>
      </w:pPr>
      <w:hyperlink r:id="rId65" w:history="1">
        <w:r>
          <w:rPr>
            <w:rStyle w:val="Hyperlink1"/>
            <w:lang w:val="en-US"/>
          </w:rPr>
          <w:t>[14]</w:t>
        </w:r>
        <w:r>
          <w:rPr>
            <w:rStyle w:val="Hyperlink1"/>
            <w:lang w:val="en-US"/>
          </w:rPr>
          <w:tab/>
          <w:t>Raj K, Singh Dhaliwal J, T Han F, S Hoffmayer K, Ho G, Raissi F, et al. Outcomes of ventricular tachycardia ablation with intracardiac echocardiography-a retrospective cohort study of the national inpatient sample. Eur Heart J 2024;45. https://doi.org/10.1093/eurheartj/ehae666.681.</w:t>
        </w:r>
      </w:hyperlink>
    </w:p>
    <w:p w14:paraId="380531F0" w14:textId="77777777" w:rsidR="00A34650" w:rsidRDefault="00000000">
      <w:pPr>
        <w:pStyle w:val="Body"/>
        <w:widowControl w:val="0"/>
        <w:spacing w:line="276" w:lineRule="auto"/>
        <w:ind w:left="584"/>
        <w:rPr>
          <w:rStyle w:val="Hyperlink1"/>
        </w:rPr>
      </w:pPr>
      <w:hyperlink r:id="rId66" w:history="1">
        <w:r>
          <w:rPr>
            <w:rStyle w:val="Hyperlink1"/>
            <w:lang w:val="en-US"/>
          </w:rPr>
          <w:t>[15]</w:t>
        </w:r>
        <w:r>
          <w:rPr>
            <w:rStyle w:val="Hyperlink1"/>
            <w:lang w:val="en-US"/>
          </w:rPr>
          <w:tab/>
          <w:t>Tan JL, Jin C, Lee JZ, Gaughan J, Iwai S, Russo AM. Outcomes of catheter ablation for ventricular tachycardia in patients with sarcoidosis: Insights from the</w:t>
        </w:r>
        <w:r>
          <w:rPr>
            <w:rStyle w:val="Hyperlink1"/>
          </w:rPr>
          <w:t> </w:t>
        </w:r>
        <w:r>
          <w:rPr>
            <w:rStyle w:val="Hyperlink1"/>
            <w:lang w:val="en-US"/>
          </w:rPr>
          <w:t>National Inpatient Sample database (2002-2018). J Cardiovasc Electrophysiol 2022;33:2585</w:t>
        </w:r>
        <w:r>
          <w:rPr>
            <w:rStyle w:val="Hyperlink1"/>
          </w:rPr>
          <w:t>–</w:t>
        </w:r>
        <w:r>
          <w:rPr>
            <w:rStyle w:val="Hyperlink1"/>
            <w:lang w:val="en-US"/>
          </w:rPr>
          <w:t>98. https://doi.org/10.1111/jce.15708.</w:t>
        </w:r>
      </w:hyperlink>
    </w:p>
    <w:p w14:paraId="3A598D78" w14:textId="77777777" w:rsidR="00A34650" w:rsidRDefault="00000000">
      <w:pPr>
        <w:pStyle w:val="Body"/>
        <w:widowControl w:val="0"/>
        <w:spacing w:line="276" w:lineRule="auto"/>
        <w:ind w:left="584"/>
        <w:rPr>
          <w:rStyle w:val="Hyperlink1"/>
        </w:rPr>
      </w:pPr>
      <w:hyperlink r:id="rId67" w:history="1">
        <w:r>
          <w:rPr>
            <w:rStyle w:val="Hyperlink1"/>
            <w:lang w:val="en-US"/>
          </w:rPr>
          <w:t>[16]</w:t>
        </w:r>
        <w:r>
          <w:rPr>
            <w:rStyle w:val="Hyperlink1"/>
            <w:lang w:val="en-US"/>
          </w:rPr>
          <w:tab/>
          <w:t>Reddy VY, Reynolds MR, Neuzil P, Richardson AW, Taborsky M, Jongnarangsin K, et al. Prophylactic catheter ablation for the prevention of defibrillator therapy. N Engl J Med 2007;357:2657</w:t>
        </w:r>
        <w:r>
          <w:rPr>
            <w:rStyle w:val="Hyperlink1"/>
          </w:rPr>
          <w:t>–65. https://doi.org/10.1056/NEJMoa065457.</w:t>
        </w:r>
      </w:hyperlink>
    </w:p>
    <w:p w14:paraId="189500CC" w14:textId="77777777" w:rsidR="00A34650" w:rsidRDefault="00000000">
      <w:pPr>
        <w:pStyle w:val="Body"/>
        <w:widowControl w:val="0"/>
        <w:spacing w:line="276" w:lineRule="auto"/>
        <w:ind w:left="584"/>
        <w:rPr>
          <w:rStyle w:val="Hyperlink1"/>
        </w:rPr>
      </w:pPr>
      <w:hyperlink r:id="rId68" w:history="1">
        <w:r>
          <w:rPr>
            <w:rStyle w:val="Hyperlink1"/>
            <w:lang w:val="en-US"/>
          </w:rPr>
          <w:t>[17]</w:t>
        </w:r>
        <w:r>
          <w:rPr>
            <w:rStyle w:val="Hyperlink1"/>
            <w:lang w:val="en-US"/>
          </w:rPr>
          <w:tab/>
          <w:t>Tsuji Y, Dobrev D. Electrical storm: mechanistic and therapeutic considerations to avoid death in the survivors. J Thorac Dis 2018;10:S4053</w:t>
        </w:r>
        <w:r>
          <w:rPr>
            <w:rStyle w:val="Hyperlink1"/>
          </w:rPr>
          <w:t>–</w:t>
        </w:r>
        <w:r>
          <w:rPr>
            <w:rStyle w:val="Hyperlink1"/>
            <w:lang w:val="en-US"/>
          </w:rPr>
          <w:t>6. https://doi.org/10.21037/jtd.2018.09.111.</w:t>
        </w:r>
      </w:hyperlink>
    </w:p>
    <w:p w14:paraId="274C6189" w14:textId="77777777" w:rsidR="00A34650" w:rsidRDefault="00000000">
      <w:pPr>
        <w:pStyle w:val="Body"/>
        <w:widowControl w:val="0"/>
        <w:spacing w:line="276" w:lineRule="auto"/>
        <w:ind w:left="584"/>
        <w:rPr>
          <w:rStyle w:val="Hyperlink1"/>
        </w:rPr>
      </w:pPr>
      <w:hyperlink r:id="rId69" w:history="1">
        <w:r>
          <w:rPr>
            <w:rStyle w:val="Hyperlink1"/>
            <w:lang w:val="en-US"/>
          </w:rPr>
          <w:t>[18]</w:t>
        </w:r>
        <w:r>
          <w:rPr>
            <w:rStyle w:val="Hyperlink1"/>
            <w:lang w:val="en-US"/>
          </w:rPr>
          <w:tab/>
          <w:t>Tsuji Y, Dobrev D. Prognostic impact of electrical storm in patients with implantable cardioverter defibrillators: Mechanistic and therapeutic considerations to reduce the risk of death. Int J Cardiol 2018;255:101</w:t>
        </w:r>
        <w:r>
          <w:rPr>
            <w:rStyle w:val="Hyperlink1"/>
          </w:rPr>
          <w:t>–2. https://doi.org/10.1016/j.ijcard.2017.12.085.</w:t>
        </w:r>
      </w:hyperlink>
    </w:p>
    <w:p w14:paraId="38468CED" w14:textId="77777777" w:rsidR="00A34650" w:rsidRDefault="00000000">
      <w:pPr>
        <w:pStyle w:val="Body"/>
        <w:widowControl w:val="0"/>
        <w:spacing w:line="276" w:lineRule="auto"/>
        <w:ind w:left="584"/>
        <w:rPr>
          <w:rStyle w:val="Hyperlink1"/>
        </w:rPr>
      </w:pPr>
      <w:hyperlink r:id="rId70" w:history="1">
        <w:r>
          <w:rPr>
            <w:rStyle w:val="Hyperlink1"/>
            <w:lang w:val="en-US"/>
          </w:rPr>
          <w:t>[19]</w:t>
        </w:r>
        <w:r>
          <w:rPr>
            <w:rStyle w:val="Hyperlink1"/>
            <w:lang w:val="en-US"/>
          </w:rPr>
          <w:tab/>
          <w:t xml:space="preserve">Rottner L, Metzner A, Hochadel M, Senges J, Willems S, Ince H, et al. Ten-Year </w:t>
        </w:r>
        <w:r>
          <w:rPr>
            <w:rStyle w:val="Hyperlink1"/>
            <w:lang w:val="en-US"/>
          </w:rPr>
          <w:lastRenderedPageBreak/>
          <w:t>Outcomes and Predictors of Mortality Following Catheter Ablation of Ventricular Tachycardia. J Am Heart Assoc 2025;14:e034814. https://doi.org/10.1161/JAHA.124.034814.</w:t>
        </w:r>
      </w:hyperlink>
    </w:p>
    <w:p w14:paraId="059936DE" w14:textId="77777777" w:rsidR="00A34650" w:rsidRDefault="00000000">
      <w:pPr>
        <w:pStyle w:val="Body"/>
        <w:widowControl w:val="0"/>
        <w:spacing w:line="276" w:lineRule="auto"/>
        <w:ind w:left="584"/>
        <w:rPr>
          <w:rStyle w:val="Hyperlink1"/>
        </w:rPr>
      </w:pPr>
      <w:hyperlink r:id="rId71" w:history="1">
        <w:r>
          <w:rPr>
            <w:rStyle w:val="Hyperlink1"/>
            <w:lang w:val="en-US"/>
          </w:rPr>
          <w:t>[20]</w:t>
        </w:r>
        <w:r>
          <w:rPr>
            <w:rStyle w:val="Hyperlink1"/>
            <w:lang w:val="en-US"/>
          </w:rPr>
          <w:tab/>
          <w:t>Pothineni NV, Kancharla K, Katoor AJ, Shanta G, Paydak H, Kapa S, et al. Coronary artery injury related to catheter ablation of cardiac arrhythmias: A systematic review. J Cardiovasc Electrophysiol 2019;30:92</w:t>
        </w:r>
        <w:r>
          <w:rPr>
            <w:rStyle w:val="Hyperlink1"/>
          </w:rPr>
          <w:t>–</w:t>
        </w:r>
        <w:r>
          <w:rPr>
            <w:rStyle w:val="Hyperlink1"/>
            <w:lang w:val="en-US"/>
          </w:rPr>
          <w:t>101. https://doi.org/10.1111/jce.13764.</w:t>
        </w:r>
      </w:hyperlink>
    </w:p>
    <w:p w14:paraId="61DAA329" w14:textId="77777777" w:rsidR="00A34650" w:rsidRDefault="00000000">
      <w:pPr>
        <w:pStyle w:val="Body"/>
        <w:widowControl w:val="0"/>
        <w:spacing w:line="276" w:lineRule="auto"/>
        <w:ind w:left="584"/>
        <w:rPr>
          <w:rStyle w:val="Hyperlink1"/>
        </w:rPr>
      </w:pPr>
      <w:hyperlink r:id="rId72" w:history="1">
        <w:r>
          <w:rPr>
            <w:rStyle w:val="Hyperlink1"/>
            <w:lang w:val="pt-PT"/>
          </w:rPr>
          <w:t>[21]</w:t>
        </w:r>
        <w:r>
          <w:rPr>
            <w:rStyle w:val="Hyperlink1"/>
            <w:lang w:val="pt-PT"/>
          </w:rPr>
          <w:tab/>
          <w:t>Waci</w:t>
        </w:r>
        <w:r>
          <w:rPr>
            <w:rStyle w:val="Hyperlink1"/>
          </w:rPr>
          <w:t>ński P, Głowniak A, Czekajska-Chehab E, Dąbrowski W, W</w:t>
        </w:r>
        <w:r>
          <w:rPr>
            <w:rStyle w:val="Hyperlink1"/>
            <w:lang w:val="es-ES_tradnl"/>
          </w:rPr>
          <w:t>ó</w:t>
        </w:r>
        <w:r>
          <w:rPr>
            <w:rStyle w:val="Hyperlink1"/>
          </w:rPr>
          <w:t>jcik J, Wysokiń</w:t>
        </w:r>
        <w:r>
          <w:rPr>
            <w:rStyle w:val="Hyperlink1"/>
            <w:lang w:val="en-US"/>
          </w:rPr>
          <w:t>ski A. Acute left main coronary artery occlusion following inadvertent delivery of radiofrequency energy during ventricular tachycardia ablation successfully treated by rescue angioplasty with stenting: a two-year follow-up. Cardiol J 2013;20:100</w:t>
        </w:r>
        <w:r>
          <w:rPr>
            <w:rStyle w:val="Hyperlink1"/>
          </w:rPr>
          <w:t>–</w:t>
        </w:r>
        <w:r>
          <w:rPr>
            <w:rStyle w:val="Hyperlink1"/>
            <w:lang w:val="en-US"/>
          </w:rPr>
          <w:t>2. https://doi.org/10.5603/CJ.2013.0017.</w:t>
        </w:r>
      </w:hyperlink>
    </w:p>
    <w:p w14:paraId="1BB244CC" w14:textId="77777777" w:rsidR="00A34650" w:rsidRDefault="00000000">
      <w:pPr>
        <w:pStyle w:val="Body"/>
        <w:widowControl w:val="0"/>
        <w:spacing w:line="276" w:lineRule="auto"/>
        <w:ind w:left="584"/>
        <w:rPr>
          <w:rStyle w:val="Hyperlink1"/>
        </w:rPr>
      </w:pPr>
      <w:hyperlink r:id="rId73" w:history="1">
        <w:r>
          <w:rPr>
            <w:rStyle w:val="Hyperlink1"/>
            <w:lang w:val="en-US"/>
          </w:rPr>
          <w:t>[22]</w:t>
        </w:r>
        <w:r>
          <w:rPr>
            <w:rStyle w:val="Hyperlink1"/>
            <w:lang w:val="en-US"/>
          </w:rPr>
          <w:tab/>
          <w:t>Yune S, Lee WJ, Hwang J, Kim E, Ha JM, Kim JS. Acute myocardial infarction after radiofrequency catheter ablation of typical atrial flutter. J Korean Med Sci 2014;29:292</w:t>
        </w:r>
        <w:r>
          <w:rPr>
            <w:rStyle w:val="Hyperlink1"/>
          </w:rPr>
          <w:t>–5. https://doi.org/10.3346/jkms.2014.29.2.292.</w:t>
        </w:r>
      </w:hyperlink>
    </w:p>
    <w:p w14:paraId="210604FA" w14:textId="77777777" w:rsidR="00A34650" w:rsidRDefault="00000000">
      <w:pPr>
        <w:pStyle w:val="Body"/>
        <w:widowControl w:val="0"/>
        <w:spacing w:line="276" w:lineRule="auto"/>
        <w:ind w:left="584"/>
        <w:rPr>
          <w:rStyle w:val="Hyperlink1"/>
        </w:rPr>
      </w:pPr>
      <w:hyperlink r:id="rId74" w:history="1">
        <w:r>
          <w:rPr>
            <w:rStyle w:val="Hyperlink1"/>
            <w:lang w:val="en-US"/>
          </w:rPr>
          <w:t>[23]</w:t>
        </w:r>
        <w:r>
          <w:rPr>
            <w:rStyle w:val="Hyperlink1"/>
            <w:lang w:val="en-US"/>
          </w:rPr>
          <w:tab/>
          <w:t>Hoffman JIE, Buckberg GD. The myocardial oxygen supply:demand index revisited. J Am Heart Assoc 2014;3:e000285. https://doi.org/10.1161/JAHA.113.000285.</w:t>
        </w:r>
      </w:hyperlink>
    </w:p>
    <w:p w14:paraId="7EF9AD81" w14:textId="77777777" w:rsidR="00A34650" w:rsidRDefault="00000000">
      <w:pPr>
        <w:pStyle w:val="Body"/>
        <w:widowControl w:val="0"/>
        <w:spacing w:line="276" w:lineRule="auto"/>
        <w:ind w:left="584"/>
        <w:rPr>
          <w:rStyle w:val="Hyperlink1"/>
        </w:rPr>
      </w:pPr>
      <w:hyperlink r:id="rId75" w:history="1">
        <w:r>
          <w:rPr>
            <w:rStyle w:val="Hyperlink1"/>
            <w:lang w:val="en-US"/>
          </w:rPr>
          <w:t>[24]</w:t>
        </w:r>
        <w:r>
          <w:rPr>
            <w:rStyle w:val="Hyperlink1"/>
            <w:lang w:val="en-US"/>
          </w:rPr>
          <w:tab/>
          <w:t>DeFilippis AP, Chapman AR, Mills NL, de Lemos JA, Arbab-Zadeh A, Newby LK, et al. Assessment and treatment of patients with type 2 myocardial infarction and acute nonischemic myocardial injury. Circulation 2019;140:1661</w:t>
        </w:r>
        <w:r>
          <w:rPr>
            <w:rStyle w:val="Hyperlink1"/>
          </w:rPr>
          <w:t>–</w:t>
        </w:r>
        <w:r>
          <w:rPr>
            <w:rStyle w:val="Hyperlink1"/>
            <w:lang w:val="en-US"/>
          </w:rPr>
          <w:t>78. https://doi.org/10.1161/CIRCULATIONAHA.119.040631.</w:t>
        </w:r>
      </w:hyperlink>
    </w:p>
    <w:p w14:paraId="4B822107" w14:textId="77777777" w:rsidR="00A34650" w:rsidRDefault="00000000">
      <w:pPr>
        <w:pStyle w:val="Body"/>
        <w:widowControl w:val="0"/>
        <w:spacing w:line="276" w:lineRule="auto"/>
        <w:ind w:left="584"/>
        <w:rPr>
          <w:rStyle w:val="Hyperlink1"/>
        </w:rPr>
      </w:pPr>
      <w:hyperlink r:id="rId76" w:history="1">
        <w:r>
          <w:rPr>
            <w:rStyle w:val="Hyperlink1"/>
            <w:lang w:val="en-US"/>
          </w:rPr>
          <w:t>[25]</w:t>
        </w:r>
        <w:r>
          <w:rPr>
            <w:rStyle w:val="Hyperlink1"/>
            <w:lang w:val="en-US"/>
          </w:rPr>
          <w:tab/>
          <w:t>Tzou WS, Tung R, Frankel DS, Vaseghi M, Bunch TJ, Di Biase L, et al. Ventricular tachycardia ablation in severe heart failure: an international ventricular tachycardia ablation center collaboration analysis. Circ Arrhythm Electrophysiol 2017;10. https://doi.org/10.1161/CIRCEP.116.004494.</w:t>
        </w:r>
      </w:hyperlink>
    </w:p>
    <w:p w14:paraId="5A39EA6D" w14:textId="77777777" w:rsidR="00A34650" w:rsidRDefault="00000000">
      <w:pPr>
        <w:pStyle w:val="Body"/>
        <w:widowControl w:val="0"/>
        <w:spacing w:line="276" w:lineRule="auto"/>
        <w:ind w:left="584"/>
        <w:rPr>
          <w:rStyle w:val="Hyperlink1"/>
        </w:rPr>
      </w:pPr>
      <w:hyperlink r:id="rId77" w:history="1">
        <w:r>
          <w:rPr>
            <w:rStyle w:val="Hyperlink1"/>
            <w:lang w:val="en-US"/>
          </w:rPr>
          <w:t>[26]</w:t>
        </w:r>
        <w:r>
          <w:rPr>
            <w:rStyle w:val="Hyperlink1"/>
            <w:lang w:val="en-US"/>
          </w:rPr>
          <w:tab/>
          <w:t>Uetake S, Hasegawa K, Kurata M, Davogustto GE, Hu TY, Siergrist KK, et al. Emergent ablation for ventricular</w:t>
        </w:r>
        <w:r>
          <w:rPr>
            <w:rStyle w:val="Hyperlink1"/>
          </w:rPr>
          <w:t> </w:t>
        </w:r>
        <w:r>
          <w:rPr>
            <w:rStyle w:val="Hyperlink1"/>
            <w:lang w:val="en-US"/>
          </w:rPr>
          <w:t>tachycardia: predictors of prolonged hospitalization and mortality. JACC Clin Electrophysiol 2024;10:2557</w:t>
        </w:r>
        <w:r>
          <w:rPr>
            <w:rStyle w:val="Hyperlink1"/>
          </w:rPr>
          <w:t>–</w:t>
        </w:r>
        <w:r>
          <w:rPr>
            <w:rStyle w:val="Hyperlink1"/>
            <w:lang w:val="en-US"/>
          </w:rPr>
          <w:t>66. https://doi.org/10.1016/j.jacep.2024.08.017.</w:t>
        </w:r>
      </w:hyperlink>
    </w:p>
    <w:p w14:paraId="7AE32C1D" w14:textId="77777777" w:rsidR="00A34650" w:rsidRDefault="00000000">
      <w:pPr>
        <w:pStyle w:val="Body"/>
        <w:widowControl w:val="0"/>
        <w:spacing w:line="276" w:lineRule="auto"/>
        <w:ind w:left="584"/>
        <w:rPr>
          <w:rStyle w:val="Hyperlink1"/>
        </w:rPr>
      </w:pPr>
      <w:hyperlink r:id="rId78" w:history="1">
        <w:r>
          <w:rPr>
            <w:rStyle w:val="Hyperlink1"/>
            <w:lang w:val="en-US"/>
          </w:rPr>
          <w:t>[27]</w:t>
        </w:r>
        <w:r>
          <w:rPr>
            <w:rStyle w:val="Hyperlink1"/>
            <w:lang w:val="en-US"/>
          </w:rPr>
          <w:tab/>
          <w:t>Santangeli P, Muser D, Zado ES, Magnani S, Khetpal S, Hutchinson MD, et al. Acute hemodynamic decompensation during catheter ablation of scar-related ventricular tachycardia: incidence, predictors, and impact on mortality. Circ Arrhythm Electrophysiol 2015;8:68</w:t>
        </w:r>
        <w:r>
          <w:rPr>
            <w:rStyle w:val="Hyperlink1"/>
          </w:rPr>
          <w:t>–</w:t>
        </w:r>
        <w:r>
          <w:rPr>
            <w:rStyle w:val="Hyperlink1"/>
            <w:lang w:val="en-US"/>
          </w:rPr>
          <w:t>75. https://doi.org/10.1161/CIRCEP.114.002155.</w:t>
        </w:r>
      </w:hyperlink>
    </w:p>
    <w:p w14:paraId="7820508A" w14:textId="77777777" w:rsidR="00A34650" w:rsidRDefault="00000000">
      <w:pPr>
        <w:pStyle w:val="Body"/>
        <w:widowControl w:val="0"/>
        <w:spacing w:line="276" w:lineRule="auto"/>
        <w:ind w:left="584"/>
        <w:rPr>
          <w:rStyle w:val="Hyperlink1"/>
        </w:rPr>
      </w:pPr>
      <w:hyperlink r:id="rId79" w:history="1">
        <w:r>
          <w:rPr>
            <w:rStyle w:val="Hyperlink1"/>
            <w:lang w:val="en-US"/>
          </w:rPr>
          <w:t>[28]</w:t>
        </w:r>
        <w:r>
          <w:rPr>
            <w:rStyle w:val="Hyperlink1"/>
            <w:lang w:val="en-US"/>
          </w:rPr>
          <w:tab/>
        </w:r>
        <w:proofErr w:type="spellStart"/>
        <w:r>
          <w:rPr>
            <w:rStyle w:val="Hyperlink1"/>
            <w:lang w:val="en-US"/>
          </w:rPr>
          <w:t>Eifling</w:t>
        </w:r>
        <w:proofErr w:type="spellEnd"/>
        <w:r>
          <w:rPr>
            <w:rStyle w:val="Hyperlink1"/>
            <w:lang w:val="en-US"/>
          </w:rPr>
          <w:t xml:space="preserve"> M, Razavi M, </w:t>
        </w:r>
        <w:proofErr w:type="spellStart"/>
        <w:r>
          <w:rPr>
            <w:rStyle w:val="Hyperlink1"/>
            <w:lang w:val="en-US"/>
          </w:rPr>
          <w:t>Massumi</w:t>
        </w:r>
        <w:proofErr w:type="spellEnd"/>
        <w:r>
          <w:rPr>
            <w:rStyle w:val="Hyperlink1"/>
            <w:lang w:val="en-US"/>
          </w:rPr>
          <w:t xml:space="preserve"> A. The evaluation and management of electrical storm. Tex Heart Inst J </w:t>
        </w:r>
        <w:proofErr w:type="gramStart"/>
        <w:r>
          <w:rPr>
            <w:rStyle w:val="Hyperlink1"/>
            <w:lang w:val="en-US"/>
          </w:rPr>
          <w:t>2011;38:111</w:t>
        </w:r>
        <w:proofErr w:type="gramEnd"/>
        <w:r>
          <w:rPr>
            <w:rStyle w:val="Hyperlink1"/>
          </w:rPr>
          <w:t>–21.</w:t>
        </w:r>
      </w:hyperlink>
    </w:p>
    <w:p w14:paraId="0ABEAFA7" w14:textId="77777777" w:rsidR="00A34650" w:rsidRDefault="00000000">
      <w:pPr>
        <w:pStyle w:val="Body"/>
        <w:widowControl w:val="0"/>
        <w:spacing w:line="276" w:lineRule="auto"/>
        <w:ind w:left="584"/>
        <w:rPr>
          <w:rStyle w:val="Hyperlink1"/>
        </w:rPr>
      </w:pPr>
      <w:hyperlink r:id="rId80" w:history="1">
        <w:r>
          <w:rPr>
            <w:rStyle w:val="Hyperlink1"/>
            <w:lang w:val="en-US"/>
          </w:rPr>
          <w:t>[29]</w:t>
        </w:r>
        <w:r>
          <w:rPr>
            <w:rStyle w:val="Hyperlink1"/>
            <w:lang w:val="en-US"/>
          </w:rPr>
          <w:tab/>
          <w:t>Virk SA, Keren A, John RM, Santageli P, Eslick A, Kumar S. Mechanical circulatory support during catheter ablation of ventricular tachycardia: indications and options. Heart Lung Circ 2019;28:134</w:t>
        </w:r>
        <w:r>
          <w:rPr>
            <w:rStyle w:val="Hyperlink1"/>
          </w:rPr>
          <w:t>–45. https://doi.org/10.1016/j.hlc.2018.10.006.</w:t>
        </w:r>
      </w:hyperlink>
    </w:p>
    <w:p w14:paraId="50655456" w14:textId="77777777" w:rsidR="00A34650" w:rsidRDefault="00000000">
      <w:pPr>
        <w:pStyle w:val="Body"/>
        <w:widowControl w:val="0"/>
        <w:spacing w:line="276" w:lineRule="auto"/>
        <w:ind w:left="584"/>
        <w:rPr>
          <w:rStyle w:val="Hyperlink1"/>
        </w:rPr>
      </w:pPr>
      <w:hyperlink r:id="rId81" w:history="1">
        <w:r>
          <w:rPr>
            <w:rStyle w:val="Hyperlink1"/>
            <w:lang w:val="pt-PT"/>
          </w:rPr>
          <w:t>[30]</w:t>
        </w:r>
        <w:r>
          <w:rPr>
            <w:rStyle w:val="Hyperlink1"/>
            <w:lang w:val="pt-PT"/>
          </w:rPr>
          <w:tab/>
          <w:t>Kautzner J, Ha</w:t>
        </w:r>
        <w:r>
          <w:rPr>
            <w:rStyle w:val="Hyperlink1"/>
          </w:rPr>
          <w:t xml:space="preserve">šková J, Stojadinovič </w:t>
        </w:r>
        <w:r>
          <w:rPr>
            <w:rStyle w:val="Hyperlink1"/>
            <w:lang w:val="en-US"/>
          </w:rPr>
          <w:t>P, Peichl P, Wichterle D. Percutaneous mechanical support in catheter ablation of ventricular arrhythmias: hype or hope? Europace 2024;26. https://doi.org/10.1093/europace/euae186.</w:t>
        </w:r>
      </w:hyperlink>
    </w:p>
    <w:p w14:paraId="5A6149B2" w14:textId="77777777" w:rsidR="00A34650" w:rsidRDefault="00000000">
      <w:pPr>
        <w:pStyle w:val="Body"/>
        <w:widowControl w:val="0"/>
        <w:spacing w:line="276" w:lineRule="auto"/>
        <w:ind w:left="584"/>
        <w:rPr>
          <w:rStyle w:val="Hyperlink1"/>
        </w:rPr>
      </w:pPr>
      <w:hyperlink r:id="rId82" w:history="1">
        <w:r>
          <w:rPr>
            <w:rStyle w:val="Hyperlink1"/>
            <w:lang w:val="en-US"/>
          </w:rPr>
          <w:t>[31]</w:t>
        </w:r>
        <w:r>
          <w:rPr>
            <w:rStyle w:val="Hyperlink1"/>
            <w:lang w:val="en-US"/>
          </w:rPr>
          <w:tab/>
          <w:t>Muser D, Liang JJ, Castro SA, Hayashi T, Enriquez A, Troutman GS, et al. Outcomes with prophylactic use of percutaneous left ventricular assist devices in high-risk patients undergoing catheter ablation of scar-related ventricular tachycardia: A propensity-score matched analysis. Heart Rhythm 2018;15:1500</w:t>
        </w:r>
        <w:r>
          <w:rPr>
            <w:rStyle w:val="Hyperlink1"/>
          </w:rPr>
          <w:t>–6. https://doi.org/10.1016/j.hrthm.2018.04.028.</w:t>
        </w:r>
      </w:hyperlink>
    </w:p>
    <w:p w14:paraId="6155256D" w14:textId="77777777" w:rsidR="00A34650" w:rsidRDefault="00000000">
      <w:pPr>
        <w:pStyle w:val="Body"/>
        <w:widowControl w:val="0"/>
        <w:spacing w:line="276" w:lineRule="auto"/>
        <w:ind w:left="584"/>
        <w:rPr>
          <w:rStyle w:val="Hyperlink1"/>
        </w:rPr>
      </w:pPr>
      <w:hyperlink r:id="rId83" w:history="1">
        <w:r>
          <w:rPr>
            <w:rStyle w:val="Hyperlink1"/>
            <w:lang w:val="en-US"/>
          </w:rPr>
          <w:t>[32]</w:t>
        </w:r>
        <w:r>
          <w:rPr>
            <w:rStyle w:val="Hyperlink1"/>
            <w:lang w:val="en-US"/>
          </w:rPr>
          <w:tab/>
          <w:t>Muser D, Castro SA, Liang JJ, Santangeli P. Identifying risk and management of acute haemodynamic decompensation during catheter ablation of ventricular tachycardia. Arrhythm Electrophysiol Rev 2018;7:282</w:t>
        </w:r>
        <w:r>
          <w:rPr>
            <w:rStyle w:val="Hyperlink1"/>
          </w:rPr>
          <w:t>–</w:t>
        </w:r>
        <w:r>
          <w:rPr>
            <w:rStyle w:val="Hyperlink1"/>
            <w:lang w:val="pt-PT"/>
          </w:rPr>
          <w:t>7. https://doi.org/10.15420/aer.2018.36.3.</w:t>
        </w:r>
      </w:hyperlink>
    </w:p>
    <w:p w14:paraId="1A89B8CA" w14:textId="77777777" w:rsidR="00A34650" w:rsidRDefault="00000000">
      <w:pPr>
        <w:pStyle w:val="Body"/>
        <w:widowControl w:val="0"/>
        <w:spacing w:line="276" w:lineRule="auto"/>
        <w:ind w:left="584"/>
        <w:rPr>
          <w:rStyle w:val="Hyperlink1"/>
        </w:rPr>
      </w:pPr>
      <w:hyperlink r:id="rId84" w:history="1">
        <w:r>
          <w:rPr>
            <w:rStyle w:val="Hyperlink1"/>
            <w:lang w:val="en-US"/>
          </w:rPr>
          <w:t>[33]</w:t>
        </w:r>
        <w:r>
          <w:rPr>
            <w:rStyle w:val="Hyperlink1"/>
            <w:lang w:val="en-US"/>
          </w:rPr>
          <w:tab/>
          <w:t>Reddy YM, Chinitz L, Mansour M, Bunch TJ, Mahapatra S, Swarup V, et al. Percutaneous left ventricular assist devices in ventricular tachycardia ablation: multicenter experience. Circ Arrhythm Electrophysiol 2014;7:244</w:t>
        </w:r>
        <w:r>
          <w:rPr>
            <w:rStyle w:val="Hyperlink1"/>
          </w:rPr>
          <w:t>–</w:t>
        </w:r>
        <w:r>
          <w:rPr>
            <w:rStyle w:val="Hyperlink1"/>
            <w:lang w:val="en-US"/>
          </w:rPr>
          <w:t>50. https://doi.org/10.1161/CIRCEP.113.000548.</w:t>
        </w:r>
      </w:hyperlink>
    </w:p>
    <w:p w14:paraId="3082F054" w14:textId="77777777" w:rsidR="00A34650" w:rsidRDefault="00000000">
      <w:pPr>
        <w:pStyle w:val="Body"/>
        <w:widowControl w:val="0"/>
        <w:spacing w:line="276" w:lineRule="auto"/>
        <w:ind w:left="584"/>
        <w:rPr>
          <w:rStyle w:val="Hyperlink1"/>
        </w:rPr>
      </w:pPr>
      <w:hyperlink r:id="rId85" w:history="1">
        <w:r>
          <w:rPr>
            <w:rStyle w:val="Hyperlink1"/>
            <w:lang w:val="en-US"/>
          </w:rPr>
          <w:t>[34]</w:t>
        </w:r>
        <w:r>
          <w:rPr>
            <w:rStyle w:val="Hyperlink1"/>
            <w:lang w:val="en-US"/>
          </w:rPr>
          <w:tab/>
          <w:t>Ballout JA, Wazni OM, Tarakji KG, Saliba WI, Kanj M, Diab M, et al. Catheter ablation in patients with cardiogenic shock and refractory ventricular tachycardia. Circ Arrhythm Electrophysiol 2020;13:e007669. https://doi.org/10.1161/CIRCEP.119.007669.</w:t>
        </w:r>
      </w:hyperlink>
    </w:p>
    <w:p w14:paraId="2A4AA347" w14:textId="77777777" w:rsidR="00A34650" w:rsidRDefault="00000000">
      <w:pPr>
        <w:pStyle w:val="Body"/>
        <w:widowControl w:val="0"/>
        <w:spacing w:line="276" w:lineRule="auto"/>
        <w:ind w:left="584"/>
        <w:rPr>
          <w:rStyle w:val="Hyperlink1"/>
        </w:rPr>
      </w:pPr>
      <w:hyperlink r:id="rId86" w:history="1">
        <w:r>
          <w:rPr>
            <w:rStyle w:val="Hyperlink1"/>
            <w:lang w:val="it-IT"/>
          </w:rPr>
          <w:t>[35]</w:t>
        </w:r>
        <w:r>
          <w:rPr>
            <w:rStyle w:val="Hyperlink1"/>
            <w:lang w:val="it-IT"/>
          </w:rPr>
          <w:tab/>
          <w:t>Tavazzi G, Dammassa V, Colombo CNJ, Arbustini E, Castelein T, Balik M, et al. Mechanical circulatory support in ventricular arrhythmias. Front Cardiovasc Med 2022;9:987008. https://doi.org/10.3389/fcvm.2022.987008.</w:t>
        </w:r>
      </w:hyperlink>
    </w:p>
    <w:p w14:paraId="0C66AFB1" w14:textId="77777777" w:rsidR="00A34650" w:rsidRDefault="00000000">
      <w:pPr>
        <w:pStyle w:val="Body"/>
        <w:widowControl w:val="0"/>
        <w:spacing w:line="276" w:lineRule="auto"/>
        <w:ind w:left="584"/>
        <w:rPr>
          <w:rStyle w:val="Hyperlink1"/>
        </w:rPr>
      </w:pPr>
      <w:hyperlink r:id="rId87" w:history="1">
        <w:r>
          <w:rPr>
            <w:rStyle w:val="Hyperlink1"/>
            <w:lang w:val="en-US"/>
          </w:rPr>
          <w:t>[36]</w:t>
        </w:r>
        <w:r>
          <w:rPr>
            <w:rStyle w:val="Hyperlink1"/>
            <w:lang w:val="en-US"/>
          </w:rPr>
          <w:tab/>
          <w:t>Sacher F, Roberts-Thomson K, Maury P, Tedrow U, Nault I, Steven D, et al. Epicardial ventricular tachycardia ablation a multicenter safety study. J Am Coll Cardiol 2010;55:2366</w:t>
        </w:r>
        <w:r>
          <w:rPr>
            <w:rStyle w:val="Hyperlink1"/>
          </w:rPr>
          <w:t>–72. https://doi.org/10.1016/j.jacc.2009.10.084.</w:t>
        </w:r>
      </w:hyperlink>
    </w:p>
    <w:p w14:paraId="5A6EC50F" w14:textId="77777777" w:rsidR="00A34650" w:rsidRDefault="00000000">
      <w:pPr>
        <w:pStyle w:val="Body"/>
        <w:widowControl w:val="0"/>
        <w:spacing w:line="276" w:lineRule="auto"/>
        <w:ind w:left="584"/>
        <w:rPr>
          <w:rStyle w:val="Hyperlink1"/>
        </w:rPr>
      </w:pPr>
      <w:hyperlink r:id="rId88" w:history="1">
        <w:r>
          <w:rPr>
            <w:rStyle w:val="Hyperlink1"/>
            <w:lang w:val="en-US"/>
          </w:rPr>
          <w:t>[37]</w:t>
        </w:r>
        <w:r>
          <w:rPr>
            <w:rStyle w:val="Hyperlink1"/>
            <w:lang w:val="en-US"/>
          </w:rPr>
          <w:tab/>
          <w:t>Vemulapalli HS, Rodriguez-Riascos JF, Muthu P, Prajapati P, Raman A, Iyengar S, et al. Epicardial access for ventricular tachycardia and premature ventricular complexes ablation: An institutional experience. Heart Rhythm O2 2025;6:204</w:t>
        </w:r>
        <w:r>
          <w:rPr>
            <w:rStyle w:val="Hyperlink1"/>
          </w:rPr>
          <w:t>–</w:t>
        </w:r>
        <w:r>
          <w:rPr>
            <w:rStyle w:val="Hyperlink1"/>
            <w:lang w:val="en-US"/>
          </w:rPr>
          <w:t>13. https://doi.org/10.1016/j.hroo.2024.11.020.</w:t>
        </w:r>
      </w:hyperlink>
    </w:p>
    <w:p w14:paraId="668AAD49" w14:textId="77777777" w:rsidR="00A34650" w:rsidRDefault="00000000">
      <w:pPr>
        <w:pStyle w:val="Body"/>
        <w:widowControl w:val="0"/>
        <w:spacing w:line="276" w:lineRule="auto"/>
        <w:ind w:left="584"/>
        <w:rPr>
          <w:rStyle w:val="Hyperlink1"/>
        </w:rPr>
      </w:pPr>
      <w:hyperlink r:id="rId89" w:history="1">
        <w:r>
          <w:rPr>
            <w:rStyle w:val="Hyperlink1"/>
            <w:lang w:val="en-US"/>
          </w:rPr>
          <w:t>[38]</w:t>
        </w:r>
        <w:r>
          <w:rPr>
            <w:rStyle w:val="Hyperlink1"/>
            <w:lang w:val="en-US"/>
          </w:rPr>
          <w:tab/>
          <w:t>Della Bella P, Brugada J, Zeppenfeld K, Merino J, Neuzil P, Maury P, et al. Epicardial ablation for ventricular tachycardia: a European multicenter study. Circ Arrhythm Electrophysiol 2011;4:653</w:t>
        </w:r>
        <w:r>
          <w:rPr>
            <w:rStyle w:val="Hyperlink1"/>
          </w:rPr>
          <w:t>–</w:t>
        </w:r>
        <w:r>
          <w:rPr>
            <w:rStyle w:val="Hyperlink1"/>
            <w:lang w:val="en-US"/>
          </w:rPr>
          <w:t>9. https://doi.org/10.1161/CIRCEP.111.962217.</w:t>
        </w:r>
      </w:hyperlink>
    </w:p>
    <w:p w14:paraId="7126A561" w14:textId="77777777" w:rsidR="00A34650" w:rsidRDefault="00000000">
      <w:pPr>
        <w:pStyle w:val="Body"/>
        <w:widowControl w:val="0"/>
        <w:spacing w:line="276" w:lineRule="auto"/>
        <w:ind w:left="584"/>
        <w:rPr>
          <w:rStyle w:val="Hyperlink1"/>
        </w:rPr>
      </w:pPr>
      <w:hyperlink r:id="rId90" w:history="1">
        <w:r>
          <w:rPr>
            <w:rStyle w:val="Hyperlink1"/>
            <w:lang w:val="en-US"/>
          </w:rPr>
          <w:t>[39]</w:t>
        </w:r>
        <w:r>
          <w:rPr>
            <w:rStyle w:val="Hyperlink1"/>
            <w:lang w:val="en-US"/>
          </w:rPr>
          <w:tab/>
          <w:t>Li A, Buch E, Boyle NG, Shivkumar K, Bradfield JS. Incidence and significance of adhesions encountered during epicardial mapping and ablation of ventricular tachycardia in patients with no history of prior cardiac surgery or pericarditis. Heart Rhythm 2018;15:65</w:t>
        </w:r>
        <w:r>
          <w:rPr>
            <w:rStyle w:val="Hyperlink1"/>
          </w:rPr>
          <w:t>–74. https://doi.org/10.1016/j.hrthm.2017.09.007.</w:t>
        </w:r>
      </w:hyperlink>
    </w:p>
    <w:p w14:paraId="72A36E99" w14:textId="77777777" w:rsidR="00A34650" w:rsidRDefault="00000000">
      <w:pPr>
        <w:pStyle w:val="Body"/>
        <w:widowControl w:val="0"/>
        <w:spacing w:line="276" w:lineRule="auto"/>
        <w:ind w:left="584"/>
        <w:rPr>
          <w:rStyle w:val="Hyperlink1"/>
        </w:rPr>
      </w:pPr>
      <w:hyperlink r:id="rId91" w:history="1">
        <w:r>
          <w:rPr>
            <w:rStyle w:val="Hyperlink1"/>
            <w:lang w:val="pt-PT"/>
          </w:rPr>
          <w:t>[40]</w:t>
        </w:r>
        <w:r>
          <w:rPr>
            <w:rStyle w:val="Hyperlink1"/>
            <w:lang w:val="pt-PT"/>
          </w:rPr>
          <w:tab/>
          <w:t>Xu X, Meng X, Ma F. Delayed cardiac tamponade following catheter ablation of frequent premature ventricular complexes: a case report. BMC Cardiovasc Disord 2020;20:359. https://doi.org/10.1186/s12872-020-01642-7.</w:t>
        </w:r>
      </w:hyperlink>
    </w:p>
    <w:p w14:paraId="02D6E73C" w14:textId="77777777" w:rsidR="00A34650" w:rsidRDefault="00000000">
      <w:pPr>
        <w:pStyle w:val="Body"/>
        <w:widowControl w:val="0"/>
        <w:spacing w:line="276" w:lineRule="auto"/>
        <w:ind w:left="584"/>
        <w:rPr>
          <w:rStyle w:val="Hyperlink1"/>
        </w:rPr>
      </w:pPr>
      <w:hyperlink r:id="rId92" w:history="1">
        <w:r>
          <w:rPr>
            <w:rStyle w:val="Hyperlink1"/>
            <w:lang w:val="en-US"/>
          </w:rPr>
          <w:t>[41]</w:t>
        </w:r>
        <w:r>
          <w:rPr>
            <w:rStyle w:val="Hyperlink1"/>
            <w:lang w:val="en-US"/>
          </w:rPr>
          <w:tab/>
          <w:t>Eckardt L, Doldi F, Anwar O, Gessler N, Scherschel K, Kahle A-K, et al. Major in-hospital complications after catheter ablation of cardiac arrhythmias: individual case analysis of 43 031 procedures. Europace 2023;26. https://doi.org/10.1093/europace/euad361.</w:t>
        </w:r>
      </w:hyperlink>
    </w:p>
    <w:p w14:paraId="0971A1D2" w14:textId="77777777" w:rsidR="00A34650" w:rsidRDefault="00000000">
      <w:pPr>
        <w:pStyle w:val="Body"/>
        <w:widowControl w:val="0"/>
        <w:spacing w:line="276" w:lineRule="auto"/>
        <w:ind w:left="584"/>
        <w:rPr>
          <w:rStyle w:val="Hyperlink1"/>
        </w:rPr>
      </w:pPr>
      <w:hyperlink r:id="rId93" w:history="1">
        <w:r>
          <w:rPr>
            <w:rStyle w:val="Hyperlink1"/>
            <w:lang w:val="en-US"/>
          </w:rPr>
          <w:t>[42]</w:t>
        </w:r>
        <w:r>
          <w:rPr>
            <w:rStyle w:val="Hyperlink1"/>
            <w:lang w:val="en-US"/>
          </w:rPr>
          <w:tab/>
          <w:t>Ding WY, Pearman CM, Bonnett L, Adlan A, Chin SH, Denham N, et al. Complication rates following ventricular tachycardia ablation in ischaemic and non-ischaemic cardiomyopathies: a systematic review. J Interv Card Electrophysiol 2022;63:59</w:t>
        </w:r>
        <w:r>
          <w:rPr>
            <w:rStyle w:val="Hyperlink1"/>
          </w:rPr>
          <w:t>–</w:t>
        </w:r>
        <w:r>
          <w:rPr>
            <w:rStyle w:val="Hyperlink1"/>
            <w:lang w:val="en-US"/>
          </w:rPr>
          <w:t>67. https://doi.org/10.1007/s10840-021-00948-6.</w:t>
        </w:r>
      </w:hyperlink>
    </w:p>
    <w:p w14:paraId="6759B188" w14:textId="77777777" w:rsidR="00A34650" w:rsidRDefault="00000000">
      <w:pPr>
        <w:pStyle w:val="Body"/>
        <w:widowControl w:val="0"/>
        <w:spacing w:line="276" w:lineRule="auto"/>
        <w:ind w:left="584"/>
        <w:rPr>
          <w:rStyle w:val="Hyperlink1"/>
        </w:rPr>
      </w:pPr>
      <w:hyperlink r:id="rId94" w:history="1">
        <w:r>
          <w:rPr>
            <w:rStyle w:val="Hyperlink1"/>
            <w:lang w:val="pt-PT"/>
          </w:rPr>
          <w:t>[43]</w:t>
        </w:r>
        <w:r>
          <w:rPr>
            <w:rStyle w:val="Hyperlink1"/>
            <w:lang w:val="pt-PT"/>
          </w:rPr>
          <w:tab/>
          <w:t>Schwartz A, Brotfain E, Koyfman L, Klein M. Cardiac arrhythmias in a septic ICU population: A review. J Crit Care Med (Targu Mures) 2015;1:140</w:t>
        </w:r>
        <w:r>
          <w:rPr>
            <w:rStyle w:val="Hyperlink1"/>
          </w:rPr>
          <w:t>–</w:t>
        </w:r>
        <w:r>
          <w:rPr>
            <w:rStyle w:val="Hyperlink1"/>
            <w:lang w:val="en-US"/>
          </w:rPr>
          <w:t>6. https://doi.org/10.1515/jccm-2015-0027.</w:t>
        </w:r>
      </w:hyperlink>
    </w:p>
    <w:p w14:paraId="76FCA0BC" w14:textId="77777777" w:rsidR="00A34650" w:rsidRDefault="00000000">
      <w:pPr>
        <w:pStyle w:val="Body"/>
        <w:widowControl w:val="0"/>
        <w:spacing w:line="276" w:lineRule="auto"/>
        <w:ind w:left="584"/>
        <w:rPr>
          <w:rStyle w:val="Hyperlink1"/>
        </w:rPr>
      </w:pPr>
      <w:hyperlink r:id="rId95" w:history="1">
        <w:r>
          <w:rPr>
            <w:rStyle w:val="Hyperlink1"/>
            <w:lang w:val="en-US"/>
          </w:rPr>
          <w:t>[44]</w:t>
        </w:r>
        <w:r>
          <w:rPr>
            <w:rStyle w:val="Hyperlink1"/>
            <w:lang w:val="en-US"/>
          </w:rPr>
          <w:tab/>
          <w:t>Shahreyar M, Fahhoum R, Akinseye O, Bhandari S, Dang G, Khouzam RN. Severe sepsis and cardiac arrhythmias. Ann Transl Med 2018;6:6. https://doi.org/10.21037/atm.2017.12.26.</w:t>
        </w:r>
      </w:hyperlink>
    </w:p>
    <w:p w14:paraId="54AF4442" w14:textId="77777777" w:rsidR="00A34650" w:rsidRDefault="00000000">
      <w:pPr>
        <w:pStyle w:val="Body"/>
        <w:widowControl w:val="0"/>
        <w:spacing w:line="276" w:lineRule="auto"/>
        <w:ind w:left="584"/>
        <w:rPr>
          <w:rStyle w:val="Hyperlink1"/>
        </w:rPr>
      </w:pPr>
      <w:hyperlink r:id="rId96" w:history="1">
        <w:r>
          <w:rPr>
            <w:rStyle w:val="Hyperlink1"/>
            <w:lang w:val="en-US"/>
          </w:rPr>
          <w:t>[45]</w:t>
        </w:r>
        <w:r>
          <w:rPr>
            <w:rStyle w:val="Hyperlink1"/>
            <w:lang w:val="en-US"/>
          </w:rPr>
          <w:tab/>
          <w:t>Benali K, Khairy P, Hammache N, Petzl A, Da Costa A, Verma A, et al. Procedure-Related Complications of Catheter Ablation for Atrial Fibrillation. J Am Coll Cardiol 2023;81:2089</w:t>
        </w:r>
        <w:r>
          <w:rPr>
            <w:rStyle w:val="Hyperlink1"/>
          </w:rPr>
          <w:t>–99. https://doi.org/10.1016/j.jacc.2023.03.418.</w:t>
        </w:r>
      </w:hyperlink>
    </w:p>
    <w:p w14:paraId="62DA6A79" w14:textId="77777777" w:rsidR="00A34650" w:rsidRDefault="00000000">
      <w:pPr>
        <w:pStyle w:val="Body"/>
        <w:widowControl w:val="0"/>
        <w:spacing w:line="276" w:lineRule="auto"/>
        <w:ind w:left="584"/>
        <w:rPr>
          <w:rStyle w:val="Hyperlink1"/>
        </w:rPr>
      </w:pPr>
      <w:hyperlink r:id="rId97" w:history="1">
        <w:r>
          <w:rPr>
            <w:rStyle w:val="Hyperlink1"/>
            <w:lang w:val="en-US"/>
          </w:rPr>
          <w:t>[46]</w:t>
        </w:r>
        <w:r>
          <w:rPr>
            <w:rStyle w:val="Hyperlink1"/>
            <w:lang w:val="en-US"/>
          </w:rPr>
          <w:tab/>
          <w:t xml:space="preserve">Gurin MI, Xia Y, Tarabanis C, Goldberg RI, Knotts RJ, Donnino R, et al. Catheter </w:t>
        </w:r>
        <w:r>
          <w:rPr>
            <w:rStyle w:val="Hyperlink1"/>
            <w:lang w:val="en-US"/>
          </w:rPr>
          <w:lastRenderedPageBreak/>
          <w:t>ablation compared to medical therapy for ventricular tachycardia in sarcoidosis: nationwide outcomes and hospital readmissions. Am Heart J Plus 2024;44:100421. https://doi.org/10.1016/j.ahjo.2024.100421.</w:t>
        </w:r>
      </w:hyperlink>
    </w:p>
    <w:p w14:paraId="70337D45" w14:textId="77777777" w:rsidR="00A34650" w:rsidRDefault="00000000">
      <w:pPr>
        <w:pStyle w:val="Body"/>
        <w:widowControl w:val="0"/>
        <w:spacing w:line="276" w:lineRule="auto"/>
        <w:ind w:left="584"/>
        <w:rPr>
          <w:rStyle w:val="Hyperlink1"/>
        </w:rPr>
      </w:pPr>
      <w:hyperlink r:id="rId98" w:history="1">
        <w:r>
          <w:rPr>
            <w:rStyle w:val="Hyperlink1"/>
            <w:lang w:val="en-US"/>
          </w:rPr>
          <w:t>[47]</w:t>
        </w:r>
        <w:r>
          <w:rPr>
            <w:rStyle w:val="Hyperlink1"/>
            <w:lang w:val="en-US"/>
          </w:rPr>
          <w:tab/>
          <w:t>Winterfield JR, Kent AR, Karst E, Dalal N, Mahapatra S, Bunch TJ, et al. Impact of ventricular tachycardia ablation on health care utilization. Heart Rhythm 2018;15:355</w:t>
        </w:r>
        <w:r>
          <w:rPr>
            <w:rStyle w:val="Hyperlink1"/>
          </w:rPr>
          <w:t>–62. https://doi.org/10.1016/j.hrthm.2017.10.009.</w:t>
        </w:r>
      </w:hyperlink>
    </w:p>
    <w:p w14:paraId="0259ADB1" w14:textId="77777777" w:rsidR="00A34650" w:rsidRDefault="00000000">
      <w:pPr>
        <w:pStyle w:val="Body"/>
        <w:widowControl w:val="0"/>
        <w:spacing w:line="276" w:lineRule="auto"/>
        <w:ind w:left="584"/>
        <w:rPr>
          <w:rStyle w:val="Hyperlink1"/>
        </w:rPr>
      </w:pPr>
      <w:hyperlink r:id="rId99" w:history="1">
        <w:r>
          <w:rPr>
            <w:rStyle w:val="Hyperlink1"/>
            <w:lang w:val="en-US"/>
          </w:rPr>
          <w:t>[48]</w:t>
        </w:r>
        <w:r>
          <w:rPr>
            <w:rStyle w:val="Hyperlink1"/>
            <w:lang w:val="en-US"/>
          </w:rPr>
          <w:tab/>
          <w:t>Calcagno T, Cesmat A, Sipko J, Baranowski B, Bhargava M, Callahan TD, et al. Prolonged hospitalization after catheter ablation of ventricular tachycardia: Predictors and outcomes. Heart Rhythm 2025. https://doi.org/10.1016/j.hrthm.2025.05.063.</w:t>
        </w:r>
      </w:hyperlink>
    </w:p>
    <w:p w14:paraId="456908E3" w14:textId="77777777" w:rsidR="00A34650" w:rsidRDefault="00000000">
      <w:pPr>
        <w:pStyle w:val="Body"/>
        <w:widowControl w:val="0"/>
        <w:spacing w:after="130" w:line="480" w:lineRule="auto"/>
        <w:rPr>
          <w:rStyle w:val="None"/>
          <w:b/>
          <w:bCs/>
          <w:sz w:val="26"/>
          <w:szCs w:val="26"/>
        </w:rPr>
      </w:pPr>
      <w:r>
        <w:rPr>
          <w:rStyle w:val="None"/>
          <w:b/>
          <w:bCs/>
          <w:color w:val="FF0000"/>
          <w:sz w:val="26"/>
          <w:szCs w:val="26"/>
          <w:u w:color="FF0000"/>
        </w:rPr>
        <w:br/>
      </w:r>
      <w:r>
        <w:rPr>
          <w:rStyle w:val="None"/>
          <w:b/>
          <w:bCs/>
          <w:color w:val="FF0000"/>
          <w:sz w:val="26"/>
          <w:szCs w:val="26"/>
          <w:u w:color="FF0000"/>
          <w:lang w:val="fr-FR"/>
        </w:rPr>
        <w:t xml:space="preserve">Figures </w:t>
      </w:r>
      <w:proofErr w:type="spellStart"/>
      <w:r>
        <w:rPr>
          <w:rStyle w:val="None"/>
          <w:b/>
          <w:bCs/>
          <w:color w:val="FF0000"/>
          <w:sz w:val="26"/>
          <w:szCs w:val="26"/>
          <w:u w:color="FF0000"/>
          <w:lang w:val="fr-FR"/>
        </w:rPr>
        <w:t>legends</w:t>
      </w:r>
      <w:proofErr w:type="spellEnd"/>
      <w:r>
        <w:rPr>
          <w:rStyle w:val="None"/>
          <w:b/>
          <w:bCs/>
          <w:color w:val="FF0000"/>
          <w:sz w:val="26"/>
          <w:szCs w:val="26"/>
          <w:u w:color="FF0000"/>
          <w:lang w:val="fr-FR"/>
        </w:rPr>
        <w:t>.</w:t>
      </w:r>
    </w:p>
    <w:p w14:paraId="6986BF09" w14:textId="77777777" w:rsidR="00A34650" w:rsidRDefault="00000000">
      <w:pPr>
        <w:pStyle w:val="Body"/>
        <w:widowControl w:val="0"/>
        <w:spacing w:after="130" w:line="480" w:lineRule="auto"/>
        <w:rPr>
          <w:rStyle w:val="None"/>
          <w:b/>
          <w:bCs/>
          <w:sz w:val="26"/>
          <w:szCs w:val="26"/>
        </w:rPr>
      </w:pPr>
      <w:r>
        <w:rPr>
          <w:rStyle w:val="None"/>
          <w:b/>
          <w:bCs/>
          <w:sz w:val="26"/>
          <w:szCs w:val="26"/>
          <w:lang w:val="it-IT"/>
        </w:rPr>
        <w:t>Figure 1.</w:t>
      </w:r>
      <w:r>
        <w:rPr>
          <w:rStyle w:val="None"/>
          <w:sz w:val="26"/>
          <w:szCs w:val="26"/>
          <w:lang w:val="en-US"/>
        </w:rPr>
        <w:t xml:space="preserve"> Flowchart of the study.</w:t>
      </w:r>
      <w:r>
        <w:rPr>
          <w:rStyle w:val="None"/>
          <w:sz w:val="26"/>
          <w:szCs w:val="26"/>
        </w:rPr>
        <w:br/>
      </w:r>
      <w:r>
        <w:rPr>
          <w:rStyle w:val="None"/>
          <w:b/>
          <w:bCs/>
          <w:sz w:val="26"/>
          <w:szCs w:val="26"/>
          <w:lang w:val="it-IT"/>
        </w:rPr>
        <w:t xml:space="preserve">Figure 2. </w:t>
      </w:r>
      <w:r>
        <w:rPr>
          <w:rStyle w:val="None"/>
          <w:sz w:val="26"/>
          <w:szCs w:val="26"/>
          <w:lang w:val="en-US"/>
        </w:rPr>
        <w:t>Unadjusted Outcome Rates Stratified by Ablation Status.</w:t>
      </w:r>
      <w:r>
        <w:rPr>
          <w:rStyle w:val="None"/>
          <w:sz w:val="26"/>
          <w:szCs w:val="26"/>
        </w:rPr>
        <w:br/>
      </w:r>
      <w:r>
        <w:rPr>
          <w:rStyle w:val="None"/>
          <w:b/>
          <w:bCs/>
          <w:sz w:val="26"/>
          <w:szCs w:val="26"/>
          <w:lang w:val="it-IT"/>
        </w:rPr>
        <w:t>Figure 3.</w:t>
      </w:r>
      <w:r>
        <w:rPr>
          <w:rStyle w:val="None"/>
          <w:sz w:val="26"/>
          <w:szCs w:val="26"/>
          <w:lang w:val="en-US"/>
        </w:rPr>
        <w:t xml:space="preserve"> Adjusted Odds Ratios (ORs) for Adverse In-Hospital Outcomes.</w:t>
      </w:r>
      <w:r>
        <w:rPr>
          <w:rStyle w:val="None"/>
          <w:sz w:val="26"/>
          <w:szCs w:val="26"/>
        </w:rPr>
        <w:br/>
      </w:r>
      <w:r>
        <w:rPr>
          <w:rStyle w:val="None"/>
          <w:b/>
          <w:bCs/>
          <w:sz w:val="26"/>
          <w:szCs w:val="26"/>
          <w:lang w:val="it-IT"/>
        </w:rPr>
        <w:t>Figure 4.</w:t>
      </w:r>
      <w:r>
        <w:rPr>
          <w:rStyle w:val="None"/>
          <w:sz w:val="26"/>
          <w:szCs w:val="26"/>
          <w:lang w:val="en-US"/>
        </w:rPr>
        <w:t xml:space="preserve"> Propensity Score</w:t>
      </w:r>
      <w:r>
        <w:rPr>
          <w:rStyle w:val="None"/>
          <w:sz w:val="26"/>
          <w:szCs w:val="26"/>
        </w:rPr>
        <w:t>–</w:t>
      </w:r>
      <w:r>
        <w:rPr>
          <w:rStyle w:val="None"/>
          <w:sz w:val="26"/>
          <w:szCs w:val="26"/>
          <w:lang w:val="en-US"/>
        </w:rPr>
        <w:t>Matched Outcomes by Ablation Status.</w:t>
      </w:r>
      <w:r>
        <w:rPr>
          <w:rStyle w:val="None"/>
          <w:sz w:val="26"/>
          <w:szCs w:val="26"/>
        </w:rPr>
        <w:br/>
      </w:r>
      <w:r>
        <w:rPr>
          <w:rStyle w:val="None"/>
          <w:sz w:val="26"/>
          <w:szCs w:val="26"/>
        </w:rPr>
        <w:br/>
      </w:r>
    </w:p>
    <w:p w14:paraId="715BB38D" w14:textId="77777777" w:rsidR="00A34650" w:rsidRDefault="00000000">
      <w:pPr>
        <w:pStyle w:val="Body"/>
        <w:widowControl w:val="0"/>
        <w:spacing w:before="240" w:after="240" w:line="480" w:lineRule="auto"/>
        <w:rPr>
          <w:rStyle w:val="None"/>
          <w:b/>
          <w:bCs/>
          <w:sz w:val="22"/>
          <w:szCs w:val="22"/>
        </w:rPr>
      </w:pPr>
      <w:r>
        <w:rPr>
          <w:rStyle w:val="None"/>
          <w:b/>
          <w:bCs/>
          <w:sz w:val="26"/>
          <w:szCs w:val="26"/>
        </w:rPr>
        <w:t>Table1.</w:t>
      </w:r>
      <w:r>
        <w:rPr>
          <w:rStyle w:val="None"/>
          <w:sz w:val="26"/>
          <w:szCs w:val="26"/>
          <w:lang w:val="en-US"/>
        </w:rPr>
        <w:t xml:space="preserve"> Baseline characteristics of the study. </w:t>
      </w:r>
    </w:p>
    <w:tbl>
      <w:tblPr>
        <w:tblW w:w="784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8"/>
        <w:gridCol w:w="1591"/>
        <w:gridCol w:w="1865"/>
        <w:gridCol w:w="836"/>
      </w:tblGrid>
      <w:tr w:rsidR="00A34650" w14:paraId="5CB3835C"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042F04" w14:textId="77777777" w:rsidR="00A34650" w:rsidRDefault="00A34650"/>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98CA3F7" w14:textId="77777777" w:rsidR="00A34650" w:rsidRDefault="00000000">
            <w:pPr>
              <w:pStyle w:val="Body"/>
              <w:spacing w:line="480" w:lineRule="auto"/>
              <w:jc w:val="center"/>
            </w:pPr>
            <w:r>
              <w:rPr>
                <w:rStyle w:val="None"/>
                <w:b/>
                <w:bCs/>
                <w:sz w:val="22"/>
                <w:szCs w:val="22"/>
                <w:lang w:val="en-US"/>
              </w:rPr>
              <w:t>Ablation</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37B09B5" w14:textId="77777777" w:rsidR="00A34650" w:rsidRDefault="00000000">
            <w:pPr>
              <w:pStyle w:val="Body"/>
              <w:spacing w:line="480" w:lineRule="auto"/>
              <w:jc w:val="center"/>
            </w:pPr>
            <w:r>
              <w:rPr>
                <w:rStyle w:val="None"/>
                <w:b/>
                <w:bCs/>
                <w:sz w:val="22"/>
                <w:szCs w:val="22"/>
                <w:lang w:val="en-US"/>
              </w:rPr>
              <w:t>No ablation</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2302977" w14:textId="77777777" w:rsidR="00A34650" w:rsidRDefault="00000000">
            <w:pPr>
              <w:pStyle w:val="Body"/>
              <w:spacing w:line="480" w:lineRule="auto"/>
              <w:jc w:val="center"/>
            </w:pPr>
            <w:r>
              <w:rPr>
                <w:rStyle w:val="None"/>
                <w:b/>
                <w:bCs/>
                <w:sz w:val="22"/>
                <w:szCs w:val="22"/>
                <w:lang w:val="en-US"/>
              </w:rPr>
              <w:t>p</w:t>
            </w:r>
          </w:p>
        </w:tc>
      </w:tr>
      <w:tr w:rsidR="00A34650" w14:paraId="1210AD43"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DC3450C" w14:textId="77777777" w:rsidR="00A34650" w:rsidRDefault="00000000">
            <w:pPr>
              <w:pStyle w:val="Body"/>
              <w:spacing w:line="480" w:lineRule="auto"/>
            </w:pPr>
            <w:r>
              <w:rPr>
                <w:rStyle w:val="None"/>
                <w:sz w:val="22"/>
                <w:szCs w:val="22"/>
                <w:lang w:val="en-US"/>
              </w:rPr>
              <w:t>N</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73CDB63" w14:textId="77777777" w:rsidR="00A34650" w:rsidRDefault="00000000">
            <w:pPr>
              <w:pStyle w:val="Body"/>
              <w:spacing w:line="480" w:lineRule="auto"/>
              <w:jc w:val="right"/>
            </w:pPr>
            <w:r>
              <w:rPr>
                <w:rStyle w:val="None"/>
                <w:sz w:val="22"/>
                <w:szCs w:val="22"/>
                <w:lang w:val="en-US"/>
              </w:rPr>
              <w:t>32,640 (1.5%)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4B952E2" w14:textId="77777777" w:rsidR="00A34650" w:rsidRDefault="00000000">
            <w:pPr>
              <w:pStyle w:val="Body"/>
              <w:spacing w:line="480" w:lineRule="auto"/>
              <w:jc w:val="right"/>
            </w:pPr>
            <w:r>
              <w:rPr>
                <w:rStyle w:val="None"/>
                <w:sz w:val="22"/>
                <w:szCs w:val="22"/>
                <w:lang w:val="en-US"/>
              </w:rPr>
              <w:t>2,181,784 (98.5%)</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AD93ED" w14:textId="77777777" w:rsidR="00A34650" w:rsidRDefault="00A34650"/>
        </w:tc>
      </w:tr>
      <w:tr w:rsidR="00A34650" w14:paraId="5467F0C2"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4D3A5BA" w14:textId="77777777" w:rsidR="00A34650" w:rsidRDefault="00000000">
            <w:pPr>
              <w:pStyle w:val="Body"/>
              <w:spacing w:line="480" w:lineRule="auto"/>
            </w:pPr>
            <w:r>
              <w:rPr>
                <w:rStyle w:val="None"/>
                <w:b/>
                <w:bCs/>
                <w:sz w:val="22"/>
                <w:szCs w:val="22"/>
                <w:lang w:val="en-US"/>
              </w:rPr>
              <w:t>Indicator of sex</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89A7DC"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F99437"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B7CE09" w14:textId="77777777" w:rsidR="00A34650" w:rsidRDefault="00A34650"/>
        </w:tc>
      </w:tr>
      <w:tr w:rsidR="00A34650" w14:paraId="4B920355"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28C12E0" w14:textId="77777777" w:rsidR="00A34650" w:rsidRDefault="00000000">
            <w:pPr>
              <w:pStyle w:val="Body"/>
              <w:spacing w:line="480" w:lineRule="auto"/>
            </w:pPr>
            <w:r>
              <w:rPr>
                <w:rStyle w:val="None"/>
                <w:sz w:val="22"/>
                <w:szCs w:val="22"/>
                <w:lang w:val="en-US"/>
              </w:rPr>
              <w:t xml:space="preserve">  Male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2BCF165" w14:textId="77777777" w:rsidR="00A34650" w:rsidRDefault="00000000">
            <w:pPr>
              <w:pStyle w:val="Body"/>
              <w:spacing w:line="480" w:lineRule="auto"/>
              <w:jc w:val="right"/>
            </w:pPr>
            <w:r>
              <w:rPr>
                <w:rStyle w:val="None"/>
                <w:sz w:val="22"/>
                <w:szCs w:val="22"/>
                <w:lang w:val="en-US"/>
              </w:rPr>
              <w:t>23,515 (72.0%)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585773F" w14:textId="77777777" w:rsidR="00A34650" w:rsidRDefault="00000000">
            <w:pPr>
              <w:pStyle w:val="Body"/>
              <w:spacing w:line="480" w:lineRule="auto"/>
              <w:jc w:val="right"/>
            </w:pPr>
            <w:r>
              <w:rPr>
                <w:rStyle w:val="None"/>
                <w:sz w:val="22"/>
                <w:szCs w:val="22"/>
                <w:lang w:val="en-US"/>
              </w:rPr>
              <w:t>1,422,370 (65.2%)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C3C97A2" w14:textId="77777777" w:rsidR="00A34650" w:rsidRDefault="00000000">
            <w:pPr>
              <w:pStyle w:val="Body"/>
              <w:spacing w:line="480" w:lineRule="auto"/>
              <w:jc w:val="right"/>
            </w:pPr>
            <w:r>
              <w:rPr>
                <w:rStyle w:val="None"/>
                <w:sz w:val="22"/>
                <w:szCs w:val="22"/>
                <w:lang w:val="en-US"/>
              </w:rPr>
              <w:t>&lt;0.001</w:t>
            </w:r>
          </w:p>
        </w:tc>
      </w:tr>
      <w:tr w:rsidR="00A34650" w14:paraId="64649C66"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B96B9C8" w14:textId="77777777" w:rsidR="00A34650" w:rsidRDefault="00000000">
            <w:pPr>
              <w:pStyle w:val="Body"/>
              <w:spacing w:line="480" w:lineRule="auto"/>
            </w:pPr>
            <w:r>
              <w:rPr>
                <w:rStyle w:val="None"/>
                <w:sz w:val="22"/>
                <w:szCs w:val="22"/>
                <w:lang w:val="en-US"/>
              </w:rPr>
              <w:t xml:space="preserve">  Female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06208B2" w14:textId="77777777" w:rsidR="00A34650" w:rsidRDefault="00000000">
            <w:pPr>
              <w:pStyle w:val="Body"/>
              <w:spacing w:line="480" w:lineRule="auto"/>
              <w:jc w:val="right"/>
            </w:pPr>
            <w:r>
              <w:rPr>
                <w:rStyle w:val="None"/>
                <w:sz w:val="22"/>
                <w:szCs w:val="22"/>
                <w:lang w:val="en-US"/>
              </w:rPr>
              <w:t>9,125 (28.0%)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BF462BD" w14:textId="77777777" w:rsidR="00A34650" w:rsidRDefault="00000000">
            <w:pPr>
              <w:pStyle w:val="Body"/>
              <w:spacing w:line="480" w:lineRule="auto"/>
              <w:jc w:val="right"/>
            </w:pPr>
            <w:r>
              <w:rPr>
                <w:rStyle w:val="None"/>
                <w:sz w:val="22"/>
                <w:szCs w:val="22"/>
                <w:lang w:val="en-US"/>
              </w:rPr>
              <w:t>759,415 (34.8%)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7CD0D8" w14:textId="77777777" w:rsidR="00A34650" w:rsidRDefault="00A34650"/>
        </w:tc>
      </w:tr>
      <w:tr w:rsidR="00A34650" w14:paraId="4FD2BB43"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2D0DC29" w14:textId="77777777" w:rsidR="00A34650" w:rsidRDefault="00000000">
            <w:pPr>
              <w:pStyle w:val="Body"/>
              <w:spacing w:line="480" w:lineRule="auto"/>
            </w:pPr>
            <w:r>
              <w:rPr>
                <w:rStyle w:val="None"/>
                <w:b/>
                <w:bCs/>
                <w:sz w:val="22"/>
                <w:szCs w:val="22"/>
                <w:lang w:val="en-US"/>
              </w:rPr>
              <w:t>Age group</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9AC1FA"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104653"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66B8F8" w14:textId="77777777" w:rsidR="00A34650" w:rsidRDefault="00A34650"/>
        </w:tc>
      </w:tr>
      <w:tr w:rsidR="00A34650" w14:paraId="7A5D2221"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266E9E1" w14:textId="77777777" w:rsidR="00A34650" w:rsidRDefault="00000000">
            <w:pPr>
              <w:pStyle w:val="Body"/>
              <w:spacing w:line="480" w:lineRule="auto"/>
            </w:pPr>
            <w:r>
              <w:rPr>
                <w:rStyle w:val="None"/>
                <w:sz w:val="22"/>
                <w:szCs w:val="22"/>
                <w:lang w:val="en-US"/>
              </w:rPr>
              <w:lastRenderedPageBreak/>
              <w:t xml:space="preserve">  18-&lt;45</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1275633" w14:textId="77777777" w:rsidR="00A34650" w:rsidRDefault="00000000">
            <w:pPr>
              <w:pStyle w:val="Body"/>
              <w:spacing w:line="480" w:lineRule="auto"/>
              <w:jc w:val="right"/>
            </w:pPr>
            <w:r>
              <w:rPr>
                <w:rStyle w:val="None"/>
                <w:sz w:val="22"/>
                <w:szCs w:val="22"/>
                <w:lang w:val="en-US"/>
              </w:rPr>
              <w:t>3,025 (9.3%)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D22A6DC" w14:textId="77777777" w:rsidR="00A34650" w:rsidRDefault="00000000">
            <w:pPr>
              <w:pStyle w:val="Body"/>
              <w:spacing w:line="480" w:lineRule="auto"/>
              <w:jc w:val="right"/>
            </w:pPr>
            <w:r>
              <w:rPr>
                <w:rStyle w:val="None"/>
                <w:sz w:val="22"/>
                <w:szCs w:val="22"/>
                <w:lang w:val="en-US"/>
              </w:rPr>
              <w:t>137,220 (6.3%)</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56838F0" w14:textId="77777777" w:rsidR="00A34650" w:rsidRDefault="00000000">
            <w:pPr>
              <w:pStyle w:val="Body"/>
              <w:spacing w:line="480" w:lineRule="auto"/>
              <w:jc w:val="right"/>
            </w:pPr>
            <w:r>
              <w:rPr>
                <w:rStyle w:val="None"/>
                <w:sz w:val="22"/>
                <w:szCs w:val="22"/>
                <w:lang w:val="en-US"/>
              </w:rPr>
              <w:t>&lt;0.001</w:t>
            </w:r>
          </w:p>
        </w:tc>
      </w:tr>
      <w:tr w:rsidR="00A34650" w14:paraId="3B56A993"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1F34F1C" w14:textId="77777777" w:rsidR="00A34650" w:rsidRDefault="00000000">
            <w:pPr>
              <w:pStyle w:val="Body"/>
              <w:spacing w:line="480" w:lineRule="auto"/>
            </w:pPr>
            <w:r>
              <w:rPr>
                <w:rStyle w:val="None"/>
                <w:sz w:val="22"/>
                <w:szCs w:val="22"/>
                <w:lang w:val="en-US"/>
              </w:rPr>
              <w:t xml:space="preserve">  45-&lt;65</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E2EE094" w14:textId="77777777" w:rsidR="00A34650" w:rsidRDefault="00000000">
            <w:pPr>
              <w:pStyle w:val="Body"/>
              <w:spacing w:line="480" w:lineRule="auto"/>
              <w:jc w:val="right"/>
            </w:pPr>
            <w:r>
              <w:rPr>
                <w:rStyle w:val="None"/>
                <w:sz w:val="22"/>
                <w:szCs w:val="22"/>
                <w:lang w:val="en-US"/>
              </w:rPr>
              <w:t>11,480 (35.2%)</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76A6DD2" w14:textId="77777777" w:rsidR="00A34650" w:rsidRDefault="00000000">
            <w:pPr>
              <w:pStyle w:val="Body"/>
              <w:spacing w:line="480" w:lineRule="auto"/>
              <w:jc w:val="right"/>
            </w:pPr>
            <w:r>
              <w:rPr>
                <w:rStyle w:val="None"/>
                <w:sz w:val="22"/>
                <w:szCs w:val="22"/>
                <w:lang w:val="en-US"/>
              </w:rPr>
              <w:t>645,585 (29.6%)</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040C3F" w14:textId="77777777" w:rsidR="00A34650" w:rsidRDefault="00A34650"/>
        </w:tc>
      </w:tr>
      <w:tr w:rsidR="00A34650" w14:paraId="3A9ED5A5"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6B43A55" w14:textId="77777777" w:rsidR="00A34650" w:rsidRDefault="00000000">
            <w:pPr>
              <w:pStyle w:val="Body"/>
              <w:spacing w:line="480" w:lineRule="auto"/>
            </w:pPr>
            <w:r>
              <w:rPr>
                <w:rStyle w:val="None"/>
                <w:rFonts w:ascii="Gungsuh" w:eastAsia="Gungsuh" w:hAnsi="Gungsuh" w:cs="Gungsuh"/>
                <w:sz w:val="22"/>
                <w:szCs w:val="22"/>
                <w:lang w:val="en-US"/>
              </w:rPr>
              <w:t xml:space="preserve">  ≥65</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B2E7EC2" w14:textId="77777777" w:rsidR="00A34650" w:rsidRDefault="00000000">
            <w:pPr>
              <w:pStyle w:val="Body"/>
              <w:spacing w:line="480" w:lineRule="auto"/>
              <w:jc w:val="right"/>
            </w:pPr>
            <w:r>
              <w:rPr>
                <w:rStyle w:val="None"/>
                <w:sz w:val="22"/>
                <w:szCs w:val="22"/>
                <w:lang w:val="en-US"/>
              </w:rPr>
              <w:t>18,135 (55.6%)</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1C1B4F0" w14:textId="77777777" w:rsidR="00A34650" w:rsidRDefault="00000000">
            <w:pPr>
              <w:pStyle w:val="Body"/>
              <w:spacing w:line="480" w:lineRule="auto"/>
              <w:jc w:val="right"/>
            </w:pPr>
            <w:r>
              <w:rPr>
                <w:rStyle w:val="None"/>
                <w:sz w:val="22"/>
                <w:szCs w:val="22"/>
                <w:lang w:val="en-US"/>
              </w:rPr>
              <w:t>1,398,979 (64.1%)</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473A93" w14:textId="77777777" w:rsidR="00A34650" w:rsidRDefault="00A34650"/>
        </w:tc>
      </w:tr>
      <w:tr w:rsidR="00A34650" w14:paraId="160C454B"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A76F647" w14:textId="77777777" w:rsidR="00A34650" w:rsidRDefault="00000000">
            <w:pPr>
              <w:pStyle w:val="Body"/>
              <w:spacing w:line="480" w:lineRule="auto"/>
            </w:pPr>
            <w:r>
              <w:rPr>
                <w:rStyle w:val="None"/>
                <w:b/>
                <w:bCs/>
                <w:sz w:val="22"/>
                <w:szCs w:val="22"/>
                <w:lang w:val="en-US"/>
              </w:rPr>
              <w:t>Race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D2EBBE"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AAABDD"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0474E" w14:textId="77777777" w:rsidR="00A34650" w:rsidRDefault="00A34650"/>
        </w:tc>
      </w:tr>
      <w:tr w:rsidR="00A34650" w14:paraId="2080DD64"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FCB0C6F" w14:textId="77777777" w:rsidR="00A34650" w:rsidRDefault="00000000">
            <w:pPr>
              <w:pStyle w:val="Body"/>
              <w:spacing w:line="480" w:lineRule="auto"/>
            </w:pPr>
            <w:r>
              <w:rPr>
                <w:rStyle w:val="None"/>
                <w:sz w:val="22"/>
                <w:szCs w:val="22"/>
                <w:lang w:val="en-US"/>
              </w:rPr>
              <w:t xml:space="preserve">  White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BA8F562" w14:textId="77777777" w:rsidR="00A34650" w:rsidRDefault="00000000">
            <w:pPr>
              <w:pStyle w:val="Body"/>
              <w:spacing w:line="480" w:lineRule="auto"/>
              <w:jc w:val="right"/>
            </w:pPr>
            <w:r>
              <w:rPr>
                <w:rStyle w:val="None"/>
                <w:sz w:val="22"/>
                <w:szCs w:val="22"/>
                <w:lang w:val="en-US"/>
              </w:rPr>
              <w:t>24,070 (76.0%)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BDAA290" w14:textId="77777777" w:rsidR="00A34650" w:rsidRDefault="00000000">
            <w:pPr>
              <w:pStyle w:val="Body"/>
              <w:spacing w:line="480" w:lineRule="auto"/>
              <w:jc w:val="right"/>
            </w:pPr>
            <w:r>
              <w:rPr>
                <w:rStyle w:val="None"/>
                <w:sz w:val="22"/>
                <w:szCs w:val="22"/>
                <w:lang w:val="en-US"/>
              </w:rPr>
              <w:t>1,501,734 (70.8%)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D9B7915" w14:textId="77777777" w:rsidR="00A34650" w:rsidRDefault="00000000">
            <w:pPr>
              <w:pStyle w:val="Body"/>
              <w:spacing w:line="480" w:lineRule="auto"/>
              <w:jc w:val="right"/>
            </w:pPr>
            <w:r>
              <w:rPr>
                <w:rStyle w:val="None"/>
                <w:sz w:val="22"/>
                <w:szCs w:val="22"/>
                <w:lang w:val="en-US"/>
              </w:rPr>
              <w:t>&lt;0.001</w:t>
            </w:r>
          </w:p>
        </w:tc>
      </w:tr>
      <w:tr w:rsidR="00A34650" w14:paraId="2ECDE8EA"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ABA191A" w14:textId="77777777" w:rsidR="00A34650" w:rsidRDefault="00000000">
            <w:pPr>
              <w:pStyle w:val="Body"/>
              <w:spacing w:line="480" w:lineRule="auto"/>
            </w:pPr>
            <w:r>
              <w:rPr>
                <w:rStyle w:val="None"/>
                <w:sz w:val="22"/>
                <w:szCs w:val="22"/>
                <w:lang w:val="en-US"/>
              </w:rPr>
              <w:t xml:space="preserve">  Black</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061B0C5" w14:textId="77777777" w:rsidR="00A34650" w:rsidRDefault="00000000">
            <w:pPr>
              <w:pStyle w:val="Body"/>
              <w:spacing w:line="480" w:lineRule="auto"/>
              <w:jc w:val="right"/>
            </w:pPr>
            <w:r>
              <w:rPr>
                <w:rStyle w:val="None"/>
                <w:sz w:val="22"/>
                <w:szCs w:val="22"/>
                <w:lang w:val="en-US"/>
              </w:rPr>
              <w:t>3,830 (12.1%)</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EC7437E" w14:textId="77777777" w:rsidR="00A34650" w:rsidRDefault="00000000">
            <w:pPr>
              <w:pStyle w:val="Body"/>
              <w:spacing w:line="480" w:lineRule="auto"/>
              <w:jc w:val="right"/>
            </w:pPr>
            <w:r>
              <w:rPr>
                <w:rStyle w:val="None"/>
                <w:sz w:val="22"/>
                <w:szCs w:val="22"/>
                <w:lang w:val="en-US"/>
              </w:rPr>
              <w:t>371,470 (17.5%)</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750F05" w14:textId="77777777" w:rsidR="00A34650" w:rsidRDefault="00A34650"/>
        </w:tc>
      </w:tr>
      <w:tr w:rsidR="00A34650" w14:paraId="5F114208"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C6D3865" w14:textId="77777777" w:rsidR="00A34650" w:rsidRDefault="00000000">
            <w:pPr>
              <w:pStyle w:val="Body"/>
              <w:spacing w:line="480" w:lineRule="auto"/>
            </w:pPr>
            <w:r>
              <w:rPr>
                <w:rStyle w:val="None"/>
                <w:sz w:val="22"/>
                <w:szCs w:val="22"/>
                <w:lang w:val="en-US"/>
              </w:rPr>
              <w:t xml:space="preserve">  Hispanic</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51936EE" w14:textId="77777777" w:rsidR="00A34650" w:rsidRDefault="00000000">
            <w:pPr>
              <w:pStyle w:val="Body"/>
              <w:spacing w:line="480" w:lineRule="auto"/>
              <w:jc w:val="right"/>
            </w:pPr>
            <w:r>
              <w:rPr>
                <w:rStyle w:val="None"/>
                <w:sz w:val="22"/>
                <w:szCs w:val="22"/>
                <w:lang w:val="en-US"/>
              </w:rPr>
              <w:t>2,035 (6.4%)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35D4A29" w14:textId="77777777" w:rsidR="00A34650" w:rsidRDefault="00000000">
            <w:pPr>
              <w:pStyle w:val="Body"/>
              <w:spacing w:line="480" w:lineRule="auto"/>
              <w:jc w:val="right"/>
            </w:pPr>
            <w:r>
              <w:rPr>
                <w:rStyle w:val="None"/>
                <w:sz w:val="22"/>
                <w:szCs w:val="22"/>
                <w:lang w:val="en-US"/>
              </w:rPr>
              <w:t>144,290 (6.8%)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F2F0EC" w14:textId="77777777" w:rsidR="00A34650" w:rsidRDefault="00A34650"/>
        </w:tc>
      </w:tr>
      <w:tr w:rsidR="00A34650" w14:paraId="3151DBF8"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41F24DE" w14:textId="77777777" w:rsidR="00A34650" w:rsidRDefault="00000000">
            <w:pPr>
              <w:pStyle w:val="Body"/>
              <w:spacing w:line="480" w:lineRule="auto"/>
            </w:pPr>
            <w:r>
              <w:rPr>
                <w:rStyle w:val="None"/>
                <w:sz w:val="22"/>
                <w:szCs w:val="22"/>
                <w:lang w:val="en-US"/>
              </w:rPr>
              <w:t xml:space="preserve">  Asian or Pacific Islander</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9D62B12" w14:textId="77777777" w:rsidR="00A34650" w:rsidRDefault="00000000">
            <w:pPr>
              <w:pStyle w:val="Body"/>
              <w:spacing w:line="480" w:lineRule="auto"/>
              <w:jc w:val="right"/>
            </w:pPr>
            <w:r>
              <w:rPr>
                <w:rStyle w:val="None"/>
                <w:sz w:val="22"/>
                <w:szCs w:val="22"/>
                <w:lang w:val="en-US"/>
              </w:rPr>
              <w:t>635 (2.0%)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83F23E3" w14:textId="77777777" w:rsidR="00A34650" w:rsidRDefault="00000000">
            <w:pPr>
              <w:pStyle w:val="Body"/>
              <w:spacing w:line="480" w:lineRule="auto"/>
              <w:jc w:val="right"/>
            </w:pPr>
            <w:r>
              <w:rPr>
                <w:rStyle w:val="None"/>
                <w:sz w:val="22"/>
                <w:szCs w:val="22"/>
                <w:lang w:val="en-US"/>
              </w:rPr>
              <w:t>42,610 (2.0%)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5086D8" w14:textId="77777777" w:rsidR="00A34650" w:rsidRDefault="00A34650"/>
        </w:tc>
      </w:tr>
      <w:tr w:rsidR="00A34650" w14:paraId="3CE7DECB"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C708838" w14:textId="77777777" w:rsidR="00A34650" w:rsidRDefault="00000000">
            <w:pPr>
              <w:pStyle w:val="Body"/>
              <w:spacing w:line="480" w:lineRule="auto"/>
            </w:pPr>
            <w:r>
              <w:rPr>
                <w:rStyle w:val="None"/>
                <w:sz w:val="22"/>
                <w:szCs w:val="22"/>
                <w:lang w:val="en-US"/>
              </w:rPr>
              <w:t xml:space="preserve">  Native American</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4269EFD" w14:textId="77777777" w:rsidR="00A34650" w:rsidRDefault="00000000">
            <w:pPr>
              <w:pStyle w:val="Body"/>
              <w:spacing w:line="480" w:lineRule="auto"/>
              <w:jc w:val="right"/>
            </w:pPr>
            <w:r>
              <w:rPr>
                <w:rStyle w:val="None"/>
                <w:sz w:val="22"/>
                <w:szCs w:val="22"/>
                <w:lang w:val="en-US"/>
              </w:rPr>
              <w:t>140 (0.4%)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8AE372A" w14:textId="77777777" w:rsidR="00A34650" w:rsidRDefault="00000000">
            <w:pPr>
              <w:pStyle w:val="Body"/>
              <w:spacing w:line="480" w:lineRule="auto"/>
              <w:jc w:val="right"/>
            </w:pPr>
            <w:r>
              <w:rPr>
                <w:rStyle w:val="None"/>
                <w:sz w:val="22"/>
                <w:szCs w:val="22"/>
                <w:lang w:val="en-US"/>
              </w:rPr>
              <w:t>10,620 (0.5%)</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87056D" w14:textId="77777777" w:rsidR="00A34650" w:rsidRDefault="00A34650"/>
        </w:tc>
      </w:tr>
      <w:tr w:rsidR="00A34650" w14:paraId="613B43B3"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65AF46E" w14:textId="77777777" w:rsidR="00A34650" w:rsidRDefault="00000000">
            <w:pPr>
              <w:pStyle w:val="Body"/>
              <w:spacing w:line="480" w:lineRule="auto"/>
            </w:pPr>
            <w:r>
              <w:rPr>
                <w:rStyle w:val="None"/>
                <w:sz w:val="22"/>
                <w:szCs w:val="22"/>
                <w:lang w:val="en-US"/>
              </w:rPr>
              <w:t xml:space="preserve">  Other</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A5FDBE8" w14:textId="77777777" w:rsidR="00A34650" w:rsidRDefault="00000000">
            <w:pPr>
              <w:pStyle w:val="Body"/>
              <w:spacing w:line="480" w:lineRule="auto"/>
              <w:jc w:val="right"/>
            </w:pPr>
            <w:r>
              <w:rPr>
                <w:rStyle w:val="None"/>
                <w:sz w:val="22"/>
                <w:szCs w:val="22"/>
                <w:lang w:val="en-US"/>
              </w:rPr>
              <w:t>960 (3.0%)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A8412C0" w14:textId="77777777" w:rsidR="00A34650" w:rsidRDefault="00000000">
            <w:pPr>
              <w:pStyle w:val="Body"/>
              <w:spacing w:line="480" w:lineRule="auto"/>
              <w:jc w:val="right"/>
            </w:pPr>
            <w:r>
              <w:rPr>
                <w:rStyle w:val="None"/>
                <w:sz w:val="22"/>
                <w:szCs w:val="22"/>
                <w:lang w:val="en-US"/>
              </w:rPr>
              <w:t>51,570 (2.4%)</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CFFD75" w14:textId="77777777" w:rsidR="00A34650" w:rsidRDefault="00A34650"/>
        </w:tc>
      </w:tr>
      <w:tr w:rsidR="00A34650" w14:paraId="21AC6CD6"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9A10DD5" w14:textId="77777777" w:rsidR="00A34650" w:rsidRDefault="00000000">
            <w:pPr>
              <w:pStyle w:val="Body"/>
              <w:spacing w:line="480" w:lineRule="auto"/>
            </w:pPr>
            <w:r>
              <w:rPr>
                <w:rStyle w:val="None"/>
                <w:b/>
                <w:bCs/>
                <w:sz w:val="22"/>
                <w:szCs w:val="22"/>
                <w:lang w:val="en-US"/>
              </w:rPr>
              <w:t>Primary insurance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9C7C1E"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527FA2"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F76A0F" w14:textId="77777777" w:rsidR="00A34650" w:rsidRDefault="00A34650"/>
        </w:tc>
      </w:tr>
      <w:tr w:rsidR="00A34650" w14:paraId="391D5048"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ED807BC" w14:textId="77777777" w:rsidR="00A34650" w:rsidRDefault="00000000">
            <w:pPr>
              <w:pStyle w:val="Body"/>
              <w:spacing w:line="480" w:lineRule="auto"/>
            </w:pPr>
            <w:r>
              <w:rPr>
                <w:rStyle w:val="None"/>
                <w:sz w:val="22"/>
                <w:szCs w:val="22"/>
                <w:lang w:val="en-US"/>
              </w:rPr>
              <w:t xml:space="preserve">  Medicare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0ADA7C3" w14:textId="77777777" w:rsidR="00A34650" w:rsidRDefault="00000000">
            <w:pPr>
              <w:pStyle w:val="Body"/>
              <w:spacing w:line="480" w:lineRule="auto"/>
              <w:jc w:val="right"/>
            </w:pPr>
            <w:r>
              <w:rPr>
                <w:rStyle w:val="None"/>
                <w:sz w:val="22"/>
                <w:szCs w:val="22"/>
                <w:lang w:val="en-US"/>
              </w:rPr>
              <w:t>18,485 (56.7%)</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109D668" w14:textId="77777777" w:rsidR="00A34650" w:rsidRDefault="00000000">
            <w:pPr>
              <w:pStyle w:val="Body"/>
              <w:spacing w:line="480" w:lineRule="auto"/>
              <w:jc w:val="right"/>
            </w:pPr>
            <w:r>
              <w:rPr>
                <w:rStyle w:val="None"/>
                <w:sz w:val="22"/>
                <w:szCs w:val="22"/>
                <w:lang w:val="en-US"/>
              </w:rPr>
              <w:t>1,421,649 (65.2%)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1732349" w14:textId="77777777" w:rsidR="00A34650" w:rsidRDefault="00000000">
            <w:pPr>
              <w:pStyle w:val="Body"/>
              <w:spacing w:line="480" w:lineRule="auto"/>
              <w:jc w:val="right"/>
            </w:pPr>
            <w:r>
              <w:rPr>
                <w:rStyle w:val="None"/>
                <w:sz w:val="22"/>
                <w:szCs w:val="22"/>
                <w:lang w:val="en-US"/>
              </w:rPr>
              <w:t>&lt;0.001</w:t>
            </w:r>
          </w:p>
        </w:tc>
      </w:tr>
      <w:tr w:rsidR="00A34650" w14:paraId="6C2B067B"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49DACCE" w14:textId="77777777" w:rsidR="00A34650" w:rsidRDefault="00000000">
            <w:pPr>
              <w:pStyle w:val="Body"/>
              <w:spacing w:line="480" w:lineRule="auto"/>
            </w:pPr>
            <w:r>
              <w:rPr>
                <w:rStyle w:val="None"/>
                <w:sz w:val="22"/>
                <w:szCs w:val="22"/>
                <w:lang w:val="en-US"/>
              </w:rPr>
              <w:t xml:space="preserve">  Medicaid</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FFB2731" w14:textId="77777777" w:rsidR="00A34650" w:rsidRDefault="00000000">
            <w:pPr>
              <w:pStyle w:val="Body"/>
              <w:spacing w:line="480" w:lineRule="auto"/>
              <w:jc w:val="right"/>
            </w:pPr>
            <w:r>
              <w:rPr>
                <w:rStyle w:val="None"/>
                <w:sz w:val="22"/>
                <w:szCs w:val="22"/>
                <w:lang w:val="en-US"/>
              </w:rPr>
              <w:t>2,680 (8.2%)</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11B39CD" w14:textId="77777777" w:rsidR="00A34650" w:rsidRDefault="00000000">
            <w:pPr>
              <w:pStyle w:val="Body"/>
              <w:spacing w:line="480" w:lineRule="auto"/>
              <w:jc w:val="right"/>
            </w:pPr>
            <w:r>
              <w:rPr>
                <w:rStyle w:val="None"/>
                <w:sz w:val="22"/>
                <w:szCs w:val="22"/>
                <w:lang w:val="en-US"/>
              </w:rPr>
              <w:t>222,420 (10.2%)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852D64" w14:textId="77777777" w:rsidR="00A34650" w:rsidRDefault="00A34650"/>
        </w:tc>
      </w:tr>
      <w:tr w:rsidR="00A34650" w14:paraId="5FAFE50F"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9A48805" w14:textId="77777777" w:rsidR="00A34650" w:rsidRDefault="00000000">
            <w:pPr>
              <w:pStyle w:val="Body"/>
              <w:spacing w:line="480" w:lineRule="auto"/>
            </w:pPr>
            <w:r>
              <w:rPr>
                <w:rStyle w:val="None"/>
                <w:sz w:val="22"/>
                <w:szCs w:val="22"/>
                <w:lang w:val="en-US"/>
              </w:rPr>
              <w:t xml:space="preserve">  Private Insurance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802F644" w14:textId="77777777" w:rsidR="00A34650" w:rsidRDefault="00000000">
            <w:pPr>
              <w:pStyle w:val="Body"/>
              <w:spacing w:line="480" w:lineRule="auto"/>
              <w:jc w:val="right"/>
            </w:pPr>
            <w:r>
              <w:rPr>
                <w:rStyle w:val="None"/>
                <w:sz w:val="22"/>
                <w:szCs w:val="22"/>
                <w:lang w:val="en-US"/>
              </w:rPr>
              <w:t>9,635 (29.6%)</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4AE6F5D" w14:textId="77777777" w:rsidR="00A34650" w:rsidRDefault="00000000">
            <w:pPr>
              <w:pStyle w:val="Body"/>
              <w:spacing w:line="480" w:lineRule="auto"/>
              <w:jc w:val="right"/>
            </w:pPr>
            <w:r>
              <w:rPr>
                <w:rStyle w:val="None"/>
                <w:sz w:val="22"/>
                <w:szCs w:val="22"/>
                <w:lang w:val="en-US"/>
              </w:rPr>
              <w:t>408,470 (18.7%)</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F30267" w14:textId="77777777" w:rsidR="00A34650" w:rsidRDefault="00A34650"/>
        </w:tc>
      </w:tr>
      <w:tr w:rsidR="00A34650" w14:paraId="1220F198"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9F360C3" w14:textId="77777777" w:rsidR="00A34650" w:rsidRDefault="00000000">
            <w:pPr>
              <w:pStyle w:val="Body"/>
              <w:spacing w:line="480" w:lineRule="auto"/>
            </w:pPr>
            <w:r>
              <w:rPr>
                <w:rStyle w:val="None"/>
                <w:sz w:val="22"/>
                <w:szCs w:val="22"/>
                <w:lang w:val="en-US"/>
              </w:rPr>
              <w:t xml:space="preserve">  Self-pay</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8D423C3" w14:textId="77777777" w:rsidR="00A34650" w:rsidRDefault="00000000">
            <w:pPr>
              <w:pStyle w:val="Body"/>
              <w:spacing w:line="480" w:lineRule="auto"/>
              <w:jc w:val="right"/>
            </w:pPr>
            <w:r>
              <w:rPr>
                <w:rStyle w:val="None"/>
                <w:sz w:val="22"/>
                <w:szCs w:val="22"/>
                <w:lang w:val="en-US"/>
              </w:rPr>
              <w:t>620 (1.9%)</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D6C9A53" w14:textId="77777777" w:rsidR="00A34650" w:rsidRDefault="00000000">
            <w:pPr>
              <w:pStyle w:val="Body"/>
              <w:spacing w:line="480" w:lineRule="auto"/>
              <w:jc w:val="right"/>
            </w:pPr>
            <w:r>
              <w:rPr>
                <w:rStyle w:val="None"/>
                <w:sz w:val="22"/>
                <w:szCs w:val="22"/>
                <w:lang w:val="en-US"/>
              </w:rPr>
              <w:t>65,260 (3.0%)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693B9E" w14:textId="77777777" w:rsidR="00A34650" w:rsidRDefault="00A34650"/>
        </w:tc>
      </w:tr>
      <w:tr w:rsidR="00A34650" w14:paraId="2C66835B"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4E11BDA" w14:textId="77777777" w:rsidR="00A34650" w:rsidRDefault="00000000">
            <w:pPr>
              <w:pStyle w:val="Body"/>
              <w:spacing w:line="480" w:lineRule="auto"/>
            </w:pPr>
            <w:r>
              <w:rPr>
                <w:rStyle w:val="None"/>
                <w:sz w:val="22"/>
                <w:szCs w:val="22"/>
                <w:lang w:val="en-US"/>
              </w:rPr>
              <w:t xml:space="preserve">  No charge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AF6468D" w14:textId="77777777" w:rsidR="00A34650" w:rsidRDefault="00000000">
            <w:pPr>
              <w:pStyle w:val="Body"/>
              <w:spacing w:line="480" w:lineRule="auto"/>
              <w:jc w:val="right"/>
            </w:pPr>
            <w:r>
              <w:rPr>
                <w:rStyle w:val="None"/>
                <w:sz w:val="22"/>
                <w:szCs w:val="22"/>
                <w:lang w:val="en-US"/>
              </w:rPr>
              <w:t>95 (0.3%)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4FD4638" w14:textId="77777777" w:rsidR="00A34650" w:rsidRDefault="00000000">
            <w:pPr>
              <w:pStyle w:val="Body"/>
              <w:spacing w:line="480" w:lineRule="auto"/>
              <w:jc w:val="right"/>
            </w:pPr>
            <w:r>
              <w:rPr>
                <w:rStyle w:val="None"/>
                <w:sz w:val="22"/>
                <w:szCs w:val="22"/>
                <w:lang w:val="en-US"/>
              </w:rPr>
              <w:t>5,235 (0.2%)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7BB89F" w14:textId="77777777" w:rsidR="00A34650" w:rsidRDefault="00A34650"/>
        </w:tc>
      </w:tr>
      <w:tr w:rsidR="00A34650" w14:paraId="1D594F46"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3C9FA7E" w14:textId="77777777" w:rsidR="00A34650" w:rsidRDefault="00000000">
            <w:pPr>
              <w:pStyle w:val="Body"/>
              <w:spacing w:line="480" w:lineRule="auto"/>
            </w:pPr>
            <w:r>
              <w:rPr>
                <w:rStyle w:val="None"/>
                <w:sz w:val="22"/>
                <w:szCs w:val="22"/>
                <w:lang w:val="en-US"/>
              </w:rPr>
              <w:t xml:space="preserve">  Other</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69BBC12" w14:textId="77777777" w:rsidR="00A34650" w:rsidRDefault="00000000">
            <w:pPr>
              <w:pStyle w:val="Body"/>
              <w:spacing w:line="480" w:lineRule="auto"/>
              <w:jc w:val="right"/>
            </w:pPr>
            <w:r>
              <w:rPr>
                <w:rStyle w:val="None"/>
                <w:sz w:val="22"/>
                <w:szCs w:val="22"/>
                <w:lang w:val="en-US"/>
              </w:rPr>
              <w:t>1,070 (3.3%)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F8AC19A" w14:textId="77777777" w:rsidR="00A34650" w:rsidRDefault="00000000">
            <w:pPr>
              <w:pStyle w:val="Body"/>
              <w:spacing w:line="480" w:lineRule="auto"/>
              <w:jc w:val="right"/>
            </w:pPr>
            <w:r>
              <w:rPr>
                <w:rStyle w:val="None"/>
                <w:sz w:val="22"/>
                <w:szCs w:val="22"/>
                <w:lang w:val="en-US"/>
              </w:rPr>
              <w:t>56,010 (2.6%)</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31FA3A" w14:textId="77777777" w:rsidR="00A34650" w:rsidRDefault="00A34650"/>
        </w:tc>
      </w:tr>
      <w:tr w:rsidR="00A34650" w14:paraId="7FFC83BC"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642FFDC" w14:textId="77777777" w:rsidR="00A34650" w:rsidRDefault="00000000">
            <w:pPr>
              <w:pStyle w:val="Body"/>
              <w:spacing w:line="480" w:lineRule="auto"/>
            </w:pPr>
            <w:r>
              <w:rPr>
                <w:rStyle w:val="None"/>
                <w:b/>
                <w:bCs/>
                <w:sz w:val="22"/>
                <w:szCs w:val="22"/>
                <w:lang w:val="en-US"/>
              </w:rPr>
              <w:t>Region of hospital</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5E3CB7"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4C0F3F"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F1CAC4" w14:textId="77777777" w:rsidR="00A34650" w:rsidRDefault="00A34650"/>
        </w:tc>
      </w:tr>
      <w:tr w:rsidR="00A34650" w14:paraId="179E9A91"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556CEE4" w14:textId="77777777" w:rsidR="00A34650" w:rsidRDefault="00000000">
            <w:pPr>
              <w:pStyle w:val="Body"/>
              <w:spacing w:line="480" w:lineRule="auto"/>
            </w:pPr>
            <w:r>
              <w:rPr>
                <w:rStyle w:val="None"/>
                <w:sz w:val="22"/>
                <w:szCs w:val="22"/>
                <w:lang w:val="en-US"/>
              </w:rPr>
              <w:t xml:space="preserve">  Northeast</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E4BC397" w14:textId="77777777" w:rsidR="00A34650" w:rsidRDefault="00000000">
            <w:pPr>
              <w:pStyle w:val="Body"/>
              <w:spacing w:line="480" w:lineRule="auto"/>
              <w:jc w:val="right"/>
            </w:pPr>
            <w:r>
              <w:rPr>
                <w:rStyle w:val="None"/>
                <w:sz w:val="22"/>
                <w:szCs w:val="22"/>
                <w:lang w:val="en-US"/>
              </w:rPr>
              <w:t>7,490 (22.9%)</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B9B4B9F" w14:textId="77777777" w:rsidR="00A34650" w:rsidRDefault="00000000">
            <w:pPr>
              <w:pStyle w:val="Body"/>
              <w:spacing w:line="480" w:lineRule="auto"/>
              <w:jc w:val="right"/>
            </w:pPr>
            <w:r>
              <w:rPr>
                <w:rStyle w:val="None"/>
                <w:sz w:val="22"/>
                <w:szCs w:val="22"/>
                <w:lang w:val="en-US"/>
              </w:rPr>
              <w:t>420,880 (19.3%)</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FB115D1" w14:textId="77777777" w:rsidR="00A34650" w:rsidRDefault="00000000">
            <w:pPr>
              <w:pStyle w:val="Body"/>
              <w:spacing w:line="480" w:lineRule="auto"/>
              <w:jc w:val="right"/>
            </w:pPr>
            <w:r>
              <w:rPr>
                <w:rStyle w:val="None"/>
                <w:sz w:val="22"/>
                <w:szCs w:val="22"/>
                <w:lang w:val="en-US"/>
              </w:rPr>
              <w:t>&lt;0.001</w:t>
            </w:r>
          </w:p>
        </w:tc>
      </w:tr>
      <w:tr w:rsidR="00A34650" w14:paraId="4F545B24"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A9C6386" w14:textId="77777777" w:rsidR="00A34650" w:rsidRDefault="00000000">
            <w:pPr>
              <w:pStyle w:val="Body"/>
              <w:spacing w:line="480" w:lineRule="auto"/>
            </w:pPr>
            <w:r>
              <w:rPr>
                <w:rStyle w:val="None"/>
                <w:sz w:val="22"/>
                <w:szCs w:val="22"/>
                <w:lang w:val="en-US"/>
              </w:rPr>
              <w:lastRenderedPageBreak/>
              <w:t xml:space="preserve">  Midwest</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CA2E406" w14:textId="77777777" w:rsidR="00A34650" w:rsidRDefault="00000000">
            <w:pPr>
              <w:pStyle w:val="Body"/>
              <w:spacing w:line="480" w:lineRule="auto"/>
              <w:jc w:val="right"/>
            </w:pPr>
            <w:r>
              <w:rPr>
                <w:rStyle w:val="None"/>
                <w:sz w:val="22"/>
                <w:szCs w:val="22"/>
                <w:lang w:val="en-US"/>
              </w:rPr>
              <w:t>6,965 (21.3%)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0127393" w14:textId="77777777" w:rsidR="00A34650" w:rsidRDefault="00000000">
            <w:pPr>
              <w:pStyle w:val="Body"/>
              <w:spacing w:line="480" w:lineRule="auto"/>
              <w:jc w:val="right"/>
            </w:pPr>
            <w:r>
              <w:rPr>
                <w:rStyle w:val="None"/>
                <w:sz w:val="22"/>
                <w:szCs w:val="22"/>
                <w:lang w:val="en-US"/>
              </w:rPr>
              <w:t>510,715 (23.4%)</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E8AD7C" w14:textId="77777777" w:rsidR="00A34650" w:rsidRDefault="00A34650"/>
        </w:tc>
      </w:tr>
      <w:tr w:rsidR="00A34650" w14:paraId="3DAD350B"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2395FE6" w14:textId="77777777" w:rsidR="00A34650" w:rsidRDefault="00000000">
            <w:pPr>
              <w:pStyle w:val="Body"/>
              <w:spacing w:line="480" w:lineRule="auto"/>
            </w:pPr>
            <w:r>
              <w:rPr>
                <w:rStyle w:val="None"/>
                <w:sz w:val="22"/>
                <w:szCs w:val="22"/>
                <w:lang w:val="en-US"/>
              </w:rPr>
              <w:t xml:space="preserve">  South</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E20E302" w14:textId="77777777" w:rsidR="00A34650" w:rsidRDefault="00000000">
            <w:pPr>
              <w:pStyle w:val="Body"/>
              <w:spacing w:line="480" w:lineRule="auto"/>
              <w:jc w:val="right"/>
            </w:pPr>
            <w:r>
              <w:rPr>
                <w:rStyle w:val="None"/>
                <w:sz w:val="22"/>
                <w:szCs w:val="22"/>
                <w:lang w:val="en-US"/>
              </w:rPr>
              <w:t>13,125 (40.2%)</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EB17F4B" w14:textId="77777777" w:rsidR="00A34650" w:rsidRDefault="00000000">
            <w:pPr>
              <w:pStyle w:val="Body"/>
              <w:spacing w:line="480" w:lineRule="auto"/>
              <w:jc w:val="right"/>
            </w:pPr>
            <w:r>
              <w:rPr>
                <w:rStyle w:val="None"/>
                <w:sz w:val="22"/>
                <w:szCs w:val="22"/>
                <w:lang w:val="en-US"/>
              </w:rPr>
              <w:t>851,130 (39.0%)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6D4999" w14:textId="77777777" w:rsidR="00A34650" w:rsidRDefault="00A34650"/>
        </w:tc>
      </w:tr>
      <w:tr w:rsidR="00A34650" w14:paraId="5BB17A41"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8D8C542" w14:textId="77777777" w:rsidR="00A34650" w:rsidRDefault="00000000">
            <w:pPr>
              <w:pStyle w:val="Body"/>
              <w:spacing w:line="480" w:lineRule="auto"/>
            </w:pPr>
            <w:r>
              <w:rPr>
                <w:rStyle w:val="None"/>
                <w:sz w:val="22"/>
                <w:szCs w:val="22"/>
                <w:lang w:val="en-US"/>
              </w:rPr>
              <w:t xml:space="preserve">  West</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F143BC8" w14:textId="77777777" w:rsidR="00A34650" w:rsidRDefault="00000000">
            <w:pPr>
              <w:pStyle w:val="Body"/>
              <w:spacing w:line="480" w:lineRule="auto"/>
              <w:jc w:val="right"/>
            </w:pPr>
            <w:r>
              <w:rPr>
                <w:rStyle w:val="None"/>
                <w:sz w:val="22"/>
                <w:szCs w:val="22"/>
                <w:lang w:val="en-US"/>
              </w:rPr>
              <w:t>5,060 (15.5%)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6465A72" w14:textId="77777777" w:rsidR="00A34650" w:rsidRDefault="00000000">
            <w:pPr>
              <w:pStyle w:val="Body"/>
              <w:spacing w:line="480" w:lineRule="auto"/>
              <w:jc w:val="right"/>
            </w:pPr>
            <w:r>
              <w:rPr>
                <w:rStyle w:val="None"/>
                <w:sz w:val="22"/>
                <w:szCs w:val="22"/>
                <w:lang w:val="en-US"/>
              </w:rPr>
              <w:t>399,059 (18.3%)</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08ABBF" w14:textId="77777777" w:rsidR="00A34650" w:rsidRDefault="00A34650"/>
        </w:tc>
      </w:tr>
      <w:tr w:rsidR="00A34650" w14:paraId="3E33F020"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2ABEE79" w14:textId="77777777" w:rsidR="00A34650" w:rsidRDefault="00000000">
            <w:pPr>
              <w:pStyle w:val="Body"/>
              <w:spacing w:line="480" w:lineRule="auto"/>
            </w:pPr>
            <w:r>
              <w:rPr>
                <w:rStyle w:val="None"/>
                <w:b/>
                <w:bCs/>
                <w:sz w:val="22"/>
                <w:szCs w:val="22"/>
                <w:lang w:val="en-US"/>
              </w:rPr>
              <w:t>Location/teaching status of hospital</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E87025"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333A0"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806874" w14:textId="77777777" w:rsidR="00A34650" w:rsidRDefault="00A34650"/>
        </w:tc>
      </w:tr>
      <w:tr w:rsidR="00A34650" w14:paraId="242EB62C"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98FC820" w14:textId="77777777" w:rsidR="00A34650" w:rsidRDefault="00000000">
            <w:pPr>
              <w:pStyle w:val="Body"/>
              <w:spacing w:line="480" w:lineRule="auto"/>
            </w:pPr>
            <w:r>
              <w:rPr>
                <w:rStyle w:val="None"/>
                <w:sz w:val="22"/>
                <w:szCs w:val="22"/>
                <w:lang w:val="en-US"/>
              </w:rPr>
              <w:t xml:space="preserve">  Rural</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BFD5EEC" w14:textId="77777777" w:rsidR="00A34650" w:rsidRDefault="00000000">
            <w:pPr>
              <w:pStyle w:val="Body"/>
              <w:spacing w:line="480" w:lineRule="auto"/>
              <w:jc w:val="right"/>
            </w:pPr>
            <w:r>
              <w:rPr>
                <w:rStyle w:val="None"/>
                <w:sz w:val="22"/>
                <w:szCs w:val="22"/>
                <w:lang w:val="en-US"/>
              </w:rPr>
              <w:t>550 (1.7%)</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22F61C5" w14:textId="77777777" w:rsidR="00A34650" w:rsidRDefault="00000000">
            <w:pPr>
              <w:pStyle w:val="Body"/>
              <w:spacing w:line="480" w:lineRule="auto"/>
              <w:jc w:val="right"/>
            </w:pPr>
            <w:r>
              <w:rPr>
                <w:rStyle w:val="None"/>
                <w:sz w:val="22"/>
                <w:szCs w:val="22"/>
                <w:lang w:val="en-US"/>
              </w:rPr>
              <w:t>122,420 (5.6%)</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EC69AD4" w14:textId="77777777" w:rsidR="00A34650" w:rsidRDefault="00000000">
            <w:pPr>
              <w:pStyle w:val="Body"/>
              <w:spacing w:line="480" w:lineRule="auto"/>
              <w:jc w:val="right"/>
            </w:pPr>
            <w:r>
              <w:rPr>
                <w:rStyle w:val="None"/>
                <w:sz w:val="22"/>
                <w:szCs w:val="22"/>
                <w:lang w:val="en-US"/>
              </w:rPr>
              <w:t>&lt;0.001</w:t>
            </w:r>
          </w:p>
        </w:tc>
      </w:tr>
      <w:tr w:rsidR="00A34650" w14:paraId="7C44C278"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F0F72E7" w14:textId="77777777" w:rsidR="00A34650" w:rsidRDefault="00000000">
            <w:pPr>
              <w:pStyle w:val="Body"/>
              <w:spacing w:line="480" w:lineRule="auto"/>
            </w:pPr>
            <w:r>
              <w:rPr>
                <w:rStyle w:val="None"/>
                <w:sz w:val="22"/>
                <w:szCs w:val="22"/>
                <w:lang w:val="en-US"/>
              </w:rPr>
              <w:t xml:space="preserve">  Urban </w:t>
            </w:r>
            <w:proofErr w:type="gramStart"/>
            <w:r>
              <w:rPr>
                <w:rStyle w:val="None"/>
                <w:sz w:val="22"/>
                <w:szCs w:val="22"/>
                <w:lang w:val="en-US"/>
              </w:rPr>
              <w:t>Non-Teaching</w:t>
            </w:r>
            <w:proofErr w:type="gramEnd"/>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EB7D53E" w14:textId="77777777" w:rsidR="00A34650" w:rsidRDefault="00000000">
            <w:pPr>
              <w:pStyle w:val="Body"/>
              <w:spacing w:line="480" w:lineRule="auto"/>
              <w:jc w:val="right"/>
            </w:pPr>
            <w:r>
              <w:rPr>
                <w:rStyle w:val="None"/>
                <w:sz w:val="22"/>
                <w:szCs w:val="22"/>
                <w:lang w:val="en-US"/>
              </w:rPr>
              <w:t>3,050 (9.3%)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D7C96BE" w14:textId="77777777" w:rsidR="00A34650" w:rsidRDefault="00000000">
            <w:pPr>
              <w:pStyle w:val="Body"/>
              <w:spacing w:line="480" w:lineRule="auto"/>
              <w:jc w:val="right"/>
            </w:pPr>
            <w:r>
              <w:rPr>
                <w:rStyle w:val="None"/>
                <w:sz w:val="22"/>
                <w:szCs w:val="22"/>
                <w:lang w:val="en-US"/>
              </w:rPr>
              <w:t>404,485 (18.5%)</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AFF487" w14:textId="77777777" w:rsidR="00A34650" w:rsidRDefault="00A34650"/>
        </w:tc>
      </w:tr>
      <w:tr w:rsidR="00A34650" w14:paraId="145D948E"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4E57738" w14:textId="77777777" w:rsidR="00A34650" w:rsidRDefault="00000000">
            <w:pPr>
              <w:pStyle w:val="Body"/>
              <w:spacing w:line="480" w:lineRule="auto"/>
            </w:pPr>
            <w:r>
              <w:rPr>
                <w:rStyle w:val="None"/>
                <w:sz w:val="22"/>
                <w:szCs w:val="22"/>
                <w:lang w:val="en-US"/>
              </w:rPr>
              <w:t xml:space="preserve">  Urban Teaching</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21B827A" w14:textId="77777777" w:rsidR="00A34650" w:rsidRDefault="00000000">
            <w:pPr>
              <w:pStyle w:val="Body"/>
              <w:spacing w:line="480" w:lineRule="auto"/>
              <w:jc w:val="right"/>
            </w:pPr>
            <w:r>
              <w:rPr>
                <w:rStyle w:val="None"/>
                <w:sz w:val="22"/>
                <w:szCs w:val="22"/>
                <w:lang w:val="en-US"/>
              </w:rPr>
              <w:t>29,040 (89.0%)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46941CA" w14:textId="77777777" w:rsidR="00A34650" w:rsidRDefault="00000000">
            <w:pPr>
              <w:pStyle w:val="Body"/>
              <w:spacing w:line="480" w:lineRule="auto"/>
              <w:jc w:val="right"/>
            </w:pPr>
            <w:r>
              <w:rPr>
                <w:rStyle w:val="None"/>
                <w:sz w:val="22"/>
                <w:szCs w:val="22"/>
                <w:lang w:val="en-US"/>
              </w:rPr>
              <w:t>1,654,880 (75.8%)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0D9017" w14:textId="77777777" w:rsidR="00A34650" w:rsidRDefault="00A34650"/>
        </w:tc>
      </w:tr>
      <w:tr w:rsidR="00A34650" w14:paraId="79F7B5D6"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518C906" w14:textId="77777777" w:rsidR="00A34650" w:rsidRDefault="00000000">
            <w:pPr>
              <w:pStyle w:val="Body"/>
              <w:spacing w:line="480" w:lineRule="auto"/>
            </w:pPr>
            <w:r>
              <w:rPr>
                <w:rStyle w:val="None"/>
                <w:b/>
                <w:bCs/>
                <w:sz w:val="22"/>
                <w:szCs w:val="22"/>
                <w:lang w:val="en-US"/>
              </w:rPr>
              <w:t>The bed size of the hospital</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E4E94A"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D663E6"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C321E3" w14:textId="77777777" w:rsidR="00A34650" w:rsidRDefault="00A34650"/>
        </w:tc>
      </w:tr>
      <w:tr w:rsidR="00A34650" w14:paraId="48C13767"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F07D1AC" w14:textId="77777777" w:rsidR="00A34650" w:rsidRDefault="00000000">
            <w:pPr>
              <w:pStyle w:val="Body"/>
              <w:spacing w:line="480" w:lineRule="auto"/>
            </w:pPr>
            <w:r>
              <w:rPr>
                <w:rStyle w:val="None"/>
                <w:sz w:val="22"/>
                <w:szCs w:val="22"/>
                <w:lang w:val="en-US"/>
              </w:rPr>
              <w:t xml:space="preserve">  Small</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A0381EF" w14:textId="77777777" w:rsidR="00A34650" w:rsidRDefault="00000000">
            <w:pPr>
              <w:pStyle w:val="Body"/>
              <w:spacing w:line="480" w:lineRule="auto"/>
              <w:jc w:val="right"/>
            </w:pPr>
            <w:r>
              <w:rPr>
                <w:rStyle w:val="None"/>
                <w:sz w:val="22"/>
                <w:szCs w:val="22"/>
                <w:lang w:val="en-US"/>
              </w:rPr>
              <w:t>2,930 (9.0%)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39C8E7B" w14:textId="77777777" w:rsidR="00A34650" w:rsidRDefault="00000000">
            <w:pPr>
              <w:pStyle w:val="Body"/>
              <w:spacing w:line="480" w:lineRule="auto"/>
              <w:jc w:val="right"/>
            </w:pPr>
            <w:r>
              <w:rPr>
                <w:rStyle w:val="None"/>
                <w:sz w:val="22"/>
                <w:szCs w:val="22"/>
                <w:lang w:val="en-US"/>
              </w:rPr>
              <w:t>386,655 (17.7%)</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812EAA9" w14:textId="77777777" w:rsidR="00A34650" w:rsidRDefault="00000000">
            <w:pPr>
              <w:pStyle w:val="Body"/>
              <w:spacing w:line="480" w:lineRule="auto"/>
              <w:jc w:val="right"/>
            </w:pPr>
            <w:r>
              <w:rPr>
                <w:rStyle w:val="None"/>
                <w:sz w:val="22"/>
                <w:szCs w:val="22"/>
                <w:lang w:val="en-US"/>
              </w:rPr>
              <w:t>&lt;0.001</w:t>
            </w:r>
          </w:p>
        </w:tc>
      </w:tr>
      <w:tr w:rsidR="00A34650" w14:paraId="413A1C39"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777345F" w14:textId="77777777" w:rsidR="00A34650" w:rsidRDefault="00000000">
            <w:pPr>
              <w:pStyle w:val="Body"/>
              <w:spacing w:line="480" w:lineRule="auto"/>
            </w:pPr>
            <w:r>
              <w:rPr>
                <w:rStyle w:val="None"/>
                <w:sz w:val="22"/>
                <w:szCs w:val="22"/>
                <w:lang w:val="en-US"/>
              </w:rPr>
              <w:t xml:space="preserve">  Medium</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3210510" w14:textId="77777777" w:rsidR="00A34650" w:rsidRDefault="00000000">
            <w:pPr>
              <w:pStyle w:val="Body"/>
              <w:spacing w:line="480" w:lineRule="auto"/>
              <w:jc w:val="right"/>
            </w:pPr>
            <w:r>
              <w:rPr>
                <w:rStyle w:val="None"/>
                <w:sz w:val="22"/>
                <w:szCs w:val="22"/>
                <w:lang w:val="en-US"/>
              </w:rPr>
              <w:t>7,110 (21.8%)</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4CC2DDF" w14:textId="77777777" w:rsidR="00A34650" w:rsidRDefault="00000000">
            <w:pPr>
              <w:pStyle w:val="Body"/>
              <w:spacing w:line="480" w:lineRule="auto"/>
              <w:jc w:val="right"/>
            </w:pPr>
            <w:r>
              <w:rPr>
                <w:rStyle w:val="None"/>
                <w:sz w:val="22"/>
                <w:szCs w:val="22"/>
                <w:lang w:val="en-US"/>
              </w:rPr>
              <w:t>621,069 (28.5%)</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08B5FA" w14:textId="77777777" w:rsidR="00A34650" w:rsidRDefault="00A34650"/>
        </w:tc>
      </w:tr>
      <w:tr w:rsidR="00A34650" w14:paraId="0BD4180E"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D599FD4" w14:textId="77777777" w:rsidR="00A34650" w:rsidRDefault="00000000">
            <w:pPr>
              <w:pStyle w:val="Body"/>
              <w:spacing w:line="480" w:lineRule="auto"/>
            </w:pPr>
            <w:r>
              <w:rPr>
                <w:rStyle w:val="None"/>
                <w:sz w:val="22"/>
                <w:szCs w:val="22"/>
                <w:lang w:val="en-US"/>
              </w:rPr>
              <w:t xml:space="preserve">  Large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2558227" w14:textId="77777777" w:rsidR="00A34650" w:rsidRDefault="00000000">
            <w:pPr>
              <w:pStyle w:val="Body"/>
              <w:spacing w:line="480" w:lineRule="auto"/>
              <w:jc w:val="right"/>
            </w:pPr>
            <w:r>
              <w:rPr>
                <w:rStyle w:val="None"/>
                <w:sz w:val="22"/>
                <w:szCs w:val="22"/>
                <w:lang w:val="en-US"/>
              </w:rPr>
              <w:t>22,600 (69.2%)</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56EC8A4" w14:textId="77777777" w:rsidR="00A34650" w:rsidRDefault="00000000">
            <w:pPr>
              <w:pStyle w:val="Body"/>
              <w:spacing w:line="480" w:lineRule="auto"/>
              <w:jc w:val="right"/>
            </w:pPr>
            <w:r>
              <w:rPr>
                <w:rStyle w:val="None"/>
                <w:sz w:val="22"/>
                <w:szCs w:val="22"/>
                <w:lang w:val="en-US"/>
              </w:rPr>
              <w:t>1,174,060 (53.8%)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141771" w14:textId="77777777" w:rsidR="00A34650" w:rsidRDefault="00A34650"/>
        </w:tc>
      </w:tr>
      <w:tr w:rsidR="00A34650" w14:paraId="34F753DE" w14:textId="77777777">
        <w:trPr>
          <w:trHeight w:val="320"/>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2AB87EF" w14:textId="77777777" w:rsidR="00A34650" w:rsidRDefault="00000000">
            <w:pPr>
              <w:pStyle w:val="Body"/>
              <w:spacing w:line="480" w:lineRule="auto"/>
            </w:pPr>
            <w:r>
              <w:rPr>
                <w:rStyle w:val="None"/>
                <w:b/>
                <w:bCs/>
                <w:sz w:val="22"/>
                <w:szCs w:val="22"/>
                <w:lang w:val="en-US"/>
              </w:rPr>
              <w:t>Comorbidities</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8AB42A" w14:textId="77777777" w:rsidR="00A34650" w:rsidRDefault="00A34650"/>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2E8F05" w14:textId="77777777" w:rsidR="00A34650" w:rsidRDefault="00A34650"/>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316B89" w14:textId="77777777" w:rsidR="00A34650" w:rsidRDefault="00A34650"/>
        </w:tc>
      </w:tr>
      <w:tr w:rsidR="00A34650" w14:paraId="2E696041"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F59311C" w14:textId="77777777" w:rsidR="00A34650" w:rsidRDefault="00000000">
            <w:pPr>
              <w:pStyle w:val="Body"/>
              <w:spacing w:line="480" w:lineRule="auto"/>
            </w:pPr>
            <w:r>
              <w:rPr>
                <w:rStyle w:val="None"/>
                <w:sz w:val="22"/>
                <w:szCs w:val="22"/>
                <w:lang w:val="en-US"/>
              </w:rPr>
              <w:t xml:space="preserve">  Hyperlipidemia</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BBDC142" w14:textId="77777777" w:rsidR="00A34650" w:rsidRDefault="00000000">
            <w:pPr>
              <w:pStyle w:val="Body"/>
              <w:spacing w:line="480" w:lineRule="auto"/>
              <w:jc w:val="right"/>
            </w:pPr>
            <w:r>
              <w:rPr>
                <w:rStyle w:val="None"/>
                <w:sz w:val="22"/>
                <w:szCs w:val="22"/>
                <w:lang w:val="en-US"/>
              </w:rPr>
              <w:t>17,440 (53.4%)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9ABE2C1" w14:textId="77777777" w:rsidR="00A34650" w:rsidRDefault="00000000">
            <w:pPr>
              <w:pStyle w:val="Body"/>
              <w:spacing w:line="480" w:lineRule="auto"/>
              <w:jc w:val="right"/>
            </w:pPr>
            <w:r>
              <w:rPr>
                <w:rStyle w:val="None"/>
                <w:sz w:val="22"/>
                <w:szCs w:val="22"/>
                <w:lang w:val="en-US"/>
              </w:rPr>
              <w:t>1,108,850 (50.8%)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22707F8" w14:textId="77777777" w:rsidR="00A34650" w:rsidRDefault="00000000">
            <w:pPr>
              <w:pStyle w:val="Body"/>
              <w:spacing w:line="480" w:lineRule="auto"/>
            </w:pPr>
            <w:r>
              <w:rPr>
                <w:rStyle w:val="None"/>
                <w:sz w:val="22"/>
                <w:szCs w:val="22"/>
                <w:lang w:val="en-US"/>
              </w:rPr>
              <w:t>&lt;0.001</w:t>
            </w:r>
          </w:p>
        </w:tc>
      </w:tr>
      <w:tr w:rsidR="00A34650" w14:paraId="732627CD"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B9E6912" w14:textId="77777777" w:rsidR="00A34650" w:rsidRDefault="00000000">
            <w:pPr>
              <w:pStyle w:val="Body"/>
              <w:spacing w:line="480" w:lineRule="auto"/>
            </w:pPr>
            <w:r>
              <w:rPr>
                <w:rStyle w:val="None"/>
                <w:sz w:val="22"/>
                <w:szCs w:val="22"/>
                <w:lang w:val="en-US"/>
              </w:rPr>
              <w:t xml:space="preserve">  Hypertension</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7319EA6" w14:textId="77777777" w:rsidR="00A34650" w:rsidRDefault="00000000">
            <w:pPr>
              <w:pStyle w:val="Body"/>
              <w:spacing w:line="480" w:lineRule="auto"/>
              <w:jc w:val="right"/>
            </w:pPr>
            <w:r>
              <w:rPr>
                <w:rStyle w:val="None"/>
                <w:sz w:val="22"/>
                <w:szCs w:val="22"/>
                <w:lang w:val="en-US"/>
              </w:rPr>
              <w:t>24,825 (76.1%)</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5A0083E" w14:textId="77777777" w:rsidR="00A34650" w:rsidRDefault="00000000">
            <w:pPr>
              <w:pStyle w:val="Body"/>
              <w:spacing w:line="480" w:lineRule="auto"/>
              <w:jc w:val="right"/>
            </w:pPr>
            <w:r>
              <w:rPr>
                <w:rStyle w:val="None"/>
                <w:sz w:val="22"/>
                <w:szCs w:val="22"/>
                <w:lang w:val="en-US"/>
              </w:rPr>
              <w:t>1,732,729 (79.4%)</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769065E" w14:textId="77777777" w:rsidR="00A34650" w:rsidRDefault="00000000">
            <w:pPr>
              <w:pStyle w:val="Body"/>
              <w:spacing w:line="480" w:lineRule="auto"/>
            </w:pPr>
            <w:r>
              <w:rPr>
                <w:rStyle w:val="None"/>
                <w:sz w:val="22"/>
                <w:szCs w:val="22"/>
                <w:lang w:val="en-US"/>
              </w:rPr>
              <w:t>&lt;0.001</w:t>
            </w:r>
          </w:p>
        </w:tc>
      </w:tr>
      <w:tr w:rsidR="00A34650" w14:paraId="2442112D"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9D1D3A5" w14:textId="77777777" w:rsidR="00A34650" w:rsidRDefault="00000000">
            <w:pPr>
              <w:pStyle w:val="Body"/>
              <w:spacing w:line="480" w:lineRule="auto"/>
            </w:pPr>
            <w:r>
              <w:rPr>
                <w:rStyle w:val="None"/>
                <w:sz w:val="22"/>
                <w:szCs w:val="22"/>
                <w:lang w:val="en-US"/>
              </w:rPr>
              <w:t xml:space="preserve">  Chronic Heart Failure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1B11146" w14:textId="77777777" w:rsidR="00A34650" w:rsidRDefault="00000000">
            <w:pPr>
              <w:pStyle w:val="Body"/>
              <w:spacing w:line="480" w:lineRule="auto"/>
              <w:jc w:val="right"/>
            </w:pPr>
            <w:r>
              <w:rPr>
                <w:rStyle w:val="None"/>
                <w:sz w:val="22"/>
                <w:szCs w:val="22"/>
                <w:lang w:val="en-US"/>
              </w:rPr>
              <w:t>19,430 (59.5%)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0F063FA" w14:textId="77777777" w:rsidR="00A34650" w:rsidRDefault="00000000">
            <w:pPr>
              <w:pStyle w:val="Body"/>
              <w:spacing w:line="480" w:lineRule="auto"/>
              <w:jc w:val="right"/>
            </w:pPr>
            <w:r>
              <w:rPr>
                <w:rStyle w:val="None"/>
                <w:sz w:val="22"/>
                <w:szCs w:val="22"/>
                <w:lang w:val="en-US"/>
              </w:rPr>
              <w:t>1,200,865 (55.0%)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138347A" w14:textId="77777777" w:rsidR="00A34650" w:rsidRDefault="00000000">
            <w:pPr>
              <w:pStyle w:val="Body"/>
              <w:spacing w:line="480" w:lineRule="auto"/>
            </w:pPr>
            <w:r>
              <w:rPr>
                <w:rStyle w:val="None"/>
                <w:sz w:val="22"/>
                <w:szCs w:val="22"/>
                <w:lang w:val="en-US"/>
              </w:rPr>
              <w:t>&lt;0.001</w:t>
            </w:r>
          </w:p>
        </w:tc>
      </w:tr>
      <w:tr w:rsidR="00A34650" w14:paraId="16983036"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599B18F" w14:textId="77777777" w:rsidR="00A34650" w:rsidRDefault="00000000">
            <w:pPr>
              <w:pStyle w:val="Body"/>
              <w:spacing w:line="480" w:lineRule="auto"/>
            </w:pPr>
            <w:r>
              <w:rPr>
                <w:rStyle w:val="None"/>
                <w:sz w:val="22"/>
                <w:szCs w:val="22"/>
                <w:lang w:val="en-US"/>
              </w:rPr>
              <w:t xml:space="preserve">  Prior MI</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43D75FE" w14:textId="77777777" w:rsidR="00A34650" w:rsidRDefault="00000000">
            <w:pPr>
              <w:pStyle w:val="Body"/>
              <w:spacing w:line="480" w:lineRule="auto"/>
              <w:jc w:val="right"/>
            </w:pPr>
            <w:r>
              <w:rPr>
                <w:rStyle w:val="None"/>
                <w:sz w:val="22"/>
                <w:szCs w:val="22"/>
                <w:lang w:val="en-US"/>
              </w:rPr>
              <w:t>5,370 (16.5%)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4E47036" w14:textId="77777777" w:rsidR="00A34650" w:rsidRDefault="00000000">
            <w:pPr>
              <w:pStyle w:val="Body"/>
              <w:spacing w:line="480" w:lineRule="auto"/>
              <w:jc w:val="right"/>
            </w:pPr>
            <w:r>
              <w:rPr>
                <w:rStyle w:val="None"/>
                <w:sz w:val="22"/>
                <w:szCs w:val="22"/>
                <w:lang w:val="en-US"/>
              </w:rPr>
              <w:t>288,320 (13.2%)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AB1806A" w14:textId="77777777" w:rsidR="00A34650" w:rsidRDefault="00000000">
            <w:pPr>
              <w:pStyle w:val="Body"/>
              <w:spacing w:line="480" w:lineRule="auto"/>
            </w:pPr>
            <w:r>
              <w:rPr>
                <w:rStyle w:val="None"/>
                <w:sz w:val="22"/>
                <w:szCs w:val="22"/>
                <w:lang w:val="en-US"/>
              </w:rPr>
              <w:t>&lt;0.001</w:t>
            </w:r>
          </w:p>
        </w:tc>
      </w:tr>
      <w:tr w:rsidR="00A34650" w14:paraId="616A984C"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77E48F4" w14:textId="77777777" w:rsidR="00A34650" w:rsidRDefault="00000000">
            <w:pPr>
              <w:pStyle w:val="Body"/>
              <w:spacing w:line="480" w:lineRule="auto"/>
            </w:pPr>
            <w:r>
              <w:rPr>
                <w:rStyle w:val="None"/>
                <w:sz w:val="22"/>
                <w:szCs w:val="22"/>
                <w:lang w:val="en-US"/>
              </w:rPr>
              <w:t xml:space="preserve">  Prior PCI</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2C1A176" w14:textId="77777777" w:rsidR="00A34650" w:rsidRDefault="00000000">
            <w:pPr>
              <w:pStyle w:val="Body"/>
              <w:spacing w:line="480" w:lineRule="auto"/>
              <w:jc w:val="right"/>
            </w:pPr>
            <w:r>
              <w:rPr>
                <w:rStyle w:val="None"/>
                <w:sz w:val="22"/>
                <w:szCs w:val="22"/>
                <w:lang w:val="en-US"/>
              </w:rPr>
              <w:t>3,960 (12.1%)</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95C307E" w14:textId="77777777" w:rsidR="00A34650" w:rsidRDefault="00000000">
            <w:pPr>
              <w:pStyle w:val="Body"/>
              <w:spacing w:line="480" w:lineRule="auto"/>
              <w:jc w:val="right"/>
            </w:pPr>
            <w:r>
              <w:rPr>
                <w:rStyle w:val="None"/>
                <w:sz w:val="22"/>
                <w:szCs w:val="22"/>
                <w:lang w:val="en-US"/>
              </w:rPr>
              <w:t>210,910 (9.7%)</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0BD18BB" w14:textId="77777777" w:rsidR="00A34650" w:rsidRDefault="00000000">
            <w:pPr>
              <w:pStyle w:val="Body"/>
              <w:spacing w:line="480" w:lineRule="auto"/>
            </w:pPr>
            <w:r>
              <w:rPr>
                <w:rStyle w:val="None"/>
                <w:sz w:val="22"/>
                <w:szCs w:val="22"/>
                <w:lang w:val="en-US"/>
              </w:rPr>
              <w:t>&lt;0.001</w:t>
            </w:r>
          </w:p>
        </w:tc>
      </w:tr>
      <w:tr w:rsidR="00A34650" w14:paraId="3DDFB3CE"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16177B2" w14:textId="77777777" w:rsidR="00A34650" w:rsidRDefault="00000000">
            <w:pPr>
              <w:pStyle w:val="Body"/>
              <w:spacing w:line="480" w:lineRule="auto"/>
            </w:pPr>
            <w:r>
              <w:rPr>
                <w:rStyle w:val="None"/>
                <w:sz w:val="22"/>
                <w:szCs w:val="22"/>
                <w:lang w:val="en-US"/>
              </w:rPr>
              <w:t xml:space="preserve">  Prior CABG</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339CA92" w14:textId="77777777" w:rsidR="00A34650" w:rsidRDefault="00000000">
            <w:pPr>
              <w:pStyle w:val="Body"/>
              <w:spacing w:line="480" w:lineRule="auto"/>
              <w:jc w:val="right"/>
            </w:pPr>
            <w:r>
              <w:rPr>
                <w:rStyle w:val="None"/>
                <w:sz w:val="22"/>
                <w:szCs w:val="22"/>
                <w:lang w:val="en-US"/>
              </w:rPr>
              <w:t>5,740 (17.6%)</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B1D13E2" w14:textId="77777777" w:rsidR="00A34650" w:rsidRDefault="00000000">
            <w:pPr>
              <w:pStyle w:val="Body"/>
              <w:spacing w:line="480" w:lineRule="auto"/>
              <w:jc w:val="right"/>
            </w:pPr>
            <w:r>
              <w:rPr>
                <w:rStyle w:val="None"/>
                <w:sz w:val="22"/>
                <w:szCs w:val="22"/>
                <w:lang w:val="en-US"/>
              </w:rPr>
              <w:t>308,885 (14.2%)</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590C4EE" w14:textId="77777777" w:rsidR="00A34650" w:rsidRDefault="00000000">
            <w:pPr>
              <w:pStyle w:val="Body"/>
              <w:spacing w:line="480" w:lineRule="auto"/>
            </w:pPr>
            <w:r>
              <w:rPr>
                <w:rStyle w:val="None"/>
                <w:sz w:val="22"/>
                <w:szCs w:val="22"/>
                <w:lang w:val="en-US"/>
              </w:rPr>
              <w:t>&lt;0.001</w:t>
            </w:r>
          </w:p>
        </w:tc>
      </w:tr>
      <w:tr w:rsidR="00A34650" w14:paraId="4A3071E7"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A01BB67" w14:textId="77777777" w:rsidR="00A34650" w:rsidRDefault="00000000">
            <w:pPr>
              <w:pStyle w:val="Body"/>
              <w:spacing w:line="480" w:lineRule="auto"/>
            </w:pPr>
            <w:r>
              <w:rPr>
                <w:rStyle w:val="None"/>
                <w:sz w:val="22"/>
                <w:szCs w:val="22"/>
                <w:lang w:val="en-US"/>
              </w:rPr>
              <w:t xml:space="preserve">  Obesity</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F7F48E4" w14:textId="77777777" w:rsidR="00A34650" w:rsidRDefault="00000000">
            <w:pPr>
              <w:pStyle w:val="Body"/>
              <w:spacing w:line="480" w:lineRule="auto"/>
              <w:jc w:val="right"/>
            </w:pPr>
            <w:r>
              <w:rPr>
                <w:rStyle w:val="None"/>
                <w:sz w:val="22"/>
                <w:szCs w:val="22"/>
                <w:lang w:val="en-US"/>
              </w:rPr>
              <w:t>8,060 (24.7%)</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11C30F1" w14:textId="77777777" w:rsidR="00A34650" w:rsidRDefault="00000000">
            <w:pPr>
              <w:pStyle w:val="Body"/>
              <w:spacing w:line="480" w:lineRule="auto"/>
              <w:jc w:val="right"/>
            </w:pPr>
            <w:r>
              <w:rPr>
                <w:rStyle w:val="None"/>
                <w:sz w:val="22"/>
                <w:szCs w:val="22"/>
                <w:lang w:val="en-US"/>
              </w:rPr>
              <w:t>458,445 (21.0%)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18E466D" w14:textId="77777777" w:rsidR="00A34650" w:rsidRDefault="00000000">
            <w:pPr>
              <w:pStyle w:val="Body"/>
              <w:spacing w:line="480" w:lineRule="auto"/>
            </w:pPr>
            <w:r>
              <w:rPr>
                <w:rStyle w:val="None"/>
                <w:sz w:val="22"/>
                <w:szCs w:val="22"/>
                <w:lang w:val="en-US"/>
              </w:rPr>
              <w:t>&lt;0.001</w:t>
            </w:r>
          </w:p>
        </w:tc>
      </w:tr>
      <w:tr w:rsidR="00A34650" w14:paraId="5AA20C12"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F8E8E80" w14:textId="77777777" w:rsidR="00A34650" w:rsidRDefault="00000000">
            <w:pPr>
              <w:pStyle w:val="Body"/>
              <w:spacing w:line="480" w:lineRule="auto"/>
            </w:pPr>
            <w:r>
              <w:rPr>
                <w:rStyle w:val="None"/>
                <w:sz w:val="22"/>
                <w:szCs w:val="22"/>
                <w:lang w:val="en-US"/>
              </w:rPr>
              <w:lastRenderedPageBreak/>
              <w:t xml:space="preserve">  Smoker/Tobacco user</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AFD92CC" w14:textId="77777777" w:rsidR="00A34650" w:rsidRDefault="00000000">
            <w:pPr>
              <w:pStyle w:val="Body"/>
              <w:spacing w:line="480" w:lineRule="auto"/>
              <w:jc w:val="right"/>
            </w:pPr>
            <w:r>
              <w:rPr>
                <w:rStyle w:val="None"/>
                <w:sz w:val="22"/>
                <w:szCs w:val="22"/>
                <w:lang w:val="en-US"/>
              </w:rPr>
              <w:t>12,255 (37.5%)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CF59531" w14:textId="77777777" w:rsidR="00A34650" w:rsidRDefault="00000000">
            <w:pPr>
              <w:pStyle w:val="Body"/>
              <w:spacing w:line="480" w:lineRule="auto"/>
              <w:jc w:val="right"/>
            </w:pPr>
            <w:r>
              <w:rPr>
                <w:rStyle w:val="None"/>
                <w:sz w:val="22"/>
                <w:szCs w:val="22"/>
                <w:lang w:val="en-US"/>
              </w:rPr>
              <w:t>864,660 (39.6%)</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696706" w14:textId="77777777" w:rsidR="00A34650" w:rsidRDefault="00000000">
            <w:pPr>
              <w:pStyle w:val="Body"/>
              <w:spacing w:line="480" w:lineRule="auto"/>
            </w:pPr>
            <w:r>
              <w:rPr>
                <w:rStyle w:val="None"/>
                <w:sz w:val="22"/>
                <w:szCs w:val="22"/>
                <w:lang w:val="en-US"/>
              </w:rPr>
              <w:t>0.001</w:t>
            </w:r>
          </w:p>
        </w:tc>
      </w:tr>
      <w:tr w:rsidR="00A34650" w14:paraId="12819B48"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5B605E7" w14:textId="77777777" w:rsidR="00A34650" w:rsidRDefault="00000000">
            <w:pPr>
              <w:pStyle w:val="Body"/>
              <w:spacing w:line="480" w:lineRule="auto"/>
            </w:pPr>
            <w:r>
              <w:rPr>
                <w:rStyle w:val="None"/>
                <w:sz w:val="22"/>
                <w:szCs w:val="22"/>
                <w:lang w:val="en-US"/>
              </w:rPr>
              <w:t xml:space="preserve">  COPD</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30D2FF6" w14:textId="77777777" w:rsidR="00A34650" w:rsidRDefault="00000000">
            <w:pPr>
              <w:pStyle w:val="Body"/>
              <w:spacing w:line="480" w:lineRule="auto"/>
              <w:jc w:val="right"/>
            </w:pPr>
            <w:r>
              <w:rPr>
                <w:rStyle w:val="None"/>
                <w:sz w:val="22"/>
                <w:szCs w:val="22"/>
                <w:lang w:val="en-US"/>
              </w:rPr>
              <w:t>5,990 (18.4%)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BF596F5" w14:textId="77777777" w:rsidR="00A34650" w:rsidRDefault="00000000">
            <w:pPr>
              <w:pStyle w:val="Body"/>
              <w:spacing w:line="480" w:lineRule="auto"/>
              <w:jc w:val="right"/>
            </w:pPr>
            <w:r>
              <w:rPr>
                <w:rStyle w:val="None"/>
                <w:sz w:val="22"/>
                <w:szCs w:val="22"/>
                <w:lang w:val="en-US"/>
              </w:rPr>
              <w:t>542,430 (24.9%)</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7ACFD64" w14:textId="77777777" w:rsidR="00A34650" w:rsidRDefault="00000000">
            <w:pPr>
              <w:pStyle w:val="Body"/>
              <w:spacing w:line="480" w:lineRule="auto"/>
            </w:pPr>
            <w:r>
              <w:rPr>
                <w:rStyle w:val="None"/>
                <w:sz w:val="22"/>
                <w:szCs w:val="22"/>
                <w:lang w:val="en-US"/>
              </w:rPr>
              <w:t>&lt;0.001</w:t>
            </w:r>
          </w:p>
        </w:tc>
      </w:tr>
      <w:tr w:rsidR="00A34650" w14:paraId="2AC053A1"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12EC43E" w14:textId="77777777" w:rsidR="00A34650" w:rsidRDefault="00000000">
            <w:pPr>
              <w:pStyle w:val="Body"/>
              <w:spacing w:line="480" w:lineRule="auto"/>
            </w:pPr>
            <w:r>
              <w:rPr>
                <w:rStyle w:val="None"/>
                <w:sz w:val="22"/>
                <w:szCs w:val="22"/>
                <w:lang w:val="en-US"/>
              </w:rPr>
              <w:t xml:space="preserve">  Obstructive Sleep Apnea</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A2B4302" w14:textId="77777777" w:rsidR="00A34650" w:rsidRDefault="00000000">
            <w:pPr>
              <w:pStyle w:val="Body"/>
              <w:spacing w:line="480" w:lineRule="auto"/>
              <w:jc w:val="right"/>
            </w:pPr>
            <w:r>
              <w:rPr>
                <w:rStyle w:val="None"/>
                <w:sz w:val="22"/>
                <w:szCs w:val="22"/>
                <w:lang w:val="en-US"/>
              </w:rPr>
              <w:t>6,065 (18.6%)</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8B67E50" w14:textId="77777777" w:rsidR="00A34650" w:rsidRDefault="00000000">
            <w:pPr>
              <w:pStyle w:val="Body"/>
              <w:spacing w:line="480" w:lineRule="auto"/>
              <w:jc w:val="right"/>
            </w:pPr>
            <w:r>
              <w:rPr>
                <w:rStyle w:val="None"/>
                <w:sz w:val="22"/>
                <w:szCs w:val="22"/>
                <w:lang w:val="en-US"/>
              </w:rPr>
              <w:t>257,030 (11.8%)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C18B40F" w14:textId="77777777" w:rsidR="00A34650" w:rsidRDefault="00000000">
            <w:pPr>
              <w:pStyle w:val="Body"/>
              <w:spacing w:line="480" w:lineRule="auto"/>
            </w:pPr>
            <w:r>
              <w:rPr>
                <w:rStyle w:val="None"/>
                <w:sz w:val="22"/>
                <w:szCs w:val="22"/>
                <w:lang w:val="en-US"/>
              </w:rPr>
              <w:t>&lt;0.001</w:t>
            </w:r>
          </w:p>
        </w:tc>
      </w:tr>
      <w:tr w:rsidR="00A34650" w14:paraId="01C4FA89"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F551976" w14:textId="77777777" w:rsidR="00A34650" w:rsidRDefault="00000000">
            <w:pPr>
              <w:pStyle w:val="Body"/>
              <w:spacing w:line="480" w:lineRule="auto"/>
            </w:pPr>
            <w:r>
              <w:rPr>
                <w:rStyle w:val="None"/>
                <w:sz w:val="22"/>
                <w:szCs w:val="22"/>
                <w:lang w:val="en-US"/>
              </w:rPr>
              <w:t xml:space="preserve">  Prior Stroke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EBE92C4" w14:textId="77777777" w:rsidR="00A34650" w:rsidRDefault="00000000">
            <w:pPr>
              <w:pStyle w:val="Body"/>
              <w:spacing w:line="480" w:lineRule="auto"/>
              <w:jc w:val="right"/>
            </w:pPr>
            <w:r>
              <w:rPr>
                <w:rStyle w:val="None"/>
                <w:sz w:val="22"/>
                <w:szCs w:val="22"/>
                <w:lang w:val="en-US"/>
              </w:rPr>
              <w:t>2,400 (7.4%)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0114D4F" w14:textId="77777777" w:rsidR="00A34650" w:rsidRDefault="00000000">
            <w:pPr>
              <w:pStyle w:val="Body"/>
              <w:spacing w:line="480" w:lineRule="auto"/>
              <w:jc w:val="right"/>
            </w:pPr>
            <w:r>
              <w:rPr>
                <w:rStyle w:val="None"/>
                <w:sz w:val="22"/>
                <w:szCs w:val="22"/>
                <w:lang w:val="en-US"/>
              </w:rPr>
              <w:t>249,605 (11.4%)</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2CF9CF3" w14:textId="77777777" w:rsidR="00A34650" w:rsidRDefault="00000000">
            <w:pPr>
              <w:pStyle w:val="Body"/>
              <w:spacing w:line="480" w:lineRule="auto"/>
            </w:pPr>
            <w:r>
              <w:rPr>
                <w:rStyle w:val="None"/>
                <w:sz w:val="22"/>
                <w:szCs w:val="22"/>
                <w:lang w:val="en-US"/>
              </w:rPr>
              <w:t>&lt;0.001</w:t>
            </w:r>
          </w:p>
        </w:tc>
      </w:tr>
      <w:tr w:rsidR="00A34650" w14:paraId="6FA60318"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CCC0E97" w14:textId="77777777" w:rsidR="00A34650" w:rsidRDefault="00000000">
            <w:pPr>
              <w:pStyle w:val="Body"/>
              <w:spacing w:line="480" w:lineRule="auto"/>
            </w:pPr>
            <w:r>
              <w:rPr>
                <w:rStyle w:val="None"/>
                <w:sz w:val="22"/>
                <w:szCs w:val="22"/>
                <w:lang w:val="en-US"/>
              </w:rPr>
              <w:t xml:space="preserve">  Liver Disease</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B58B93C" w14:textId="77777777" w:rsidR="00A34650" w:rsidRDefault="00000000">
            <w:pPr>
              <w:pStyle w:val="Body"/>
              <w:spacing w:line="480" w:lineRule="auto"/>
              <w:jc w:val="right"/>
            </w:pPr>
            <w:r>
              <w:rPr>
                <w:rStyle w:val="None"/>
                <w:sz w:val="22"/>
                <w:szCs w:val="22"/>
                <w:lang w:val="en-US"/>
              </w:rPr>
              <w:t>2,530 (7.8%)</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5C6FF73" w14:textId="77777777" w:rsidR="00A34650" w:rsidRDefault="00000000">
            <w:pPr>
              <w:pStyle w:val="Body"/>
              <w:spacing w:line="480" w:lineRule="auto"/>
              <w:jc w:val="right"/>
            </w:pPr>
            <w:r>
              <w:rPr>
                <w:rStyle w:val="None"/>
                <w:sz w:val="22"/>
                <w:szCs w:val="22"/>
                <w:lang w:val="en-US"/>
              </w:rPr>
              <w:t>240,265 (11.0%)</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E42B1A6" w14:textId="77777777" w:rsidR="00A34650" w:rsidRDefault="00000000">
            <w:pPr>
              <w:pStyle w:val="Body"/>
              <w:spacing w:line="480" w:lineRule="auto"/>
            </w:pPr>
            <w:r>
              <w:rPr>
                <w:rStyle w:val="None"/>
                <w:sz w:val="22"/>
                <w:szCs w:val="22"/>
                <w:lang w:val="en-US"/>
              </w:rPr>
              <w:t>&lt;0.001</w:t>
            </w:r>
          </w:p>
        </w:tc>
      </w:tr>
      <w:tr w:rsidR="00A34650" w14:paraId="21E3A150"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ED1AF19" w14:textId="77777777" w:rsidR="00A34650" w:rsidRDefault="00000000">
            <w:pPr>
              <w:pStyle w:val="Body"/>
              <w:spacing w:line="480" w:lineRule="auto"/>
            </w:pPr>
            <w:r>
              <w:rPr>
                <w:rStyle w:val="None"/>
                <w:sz w:val="22"/>
                <w:szCs w:val="22"/>
                <w:lang w:val="en-US"/>
              </w:rPr>
              <w:t xml:space="preserve">  Diabetes Mellitus</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D3723D4" w14:textId="77777777" w:rsidR="00A34650" w:rsidRDefault="00000000">
            <w:pPr>
              <w:pStyle w:val="Body"/>
              <w:spacing w:line="480" w:lineRule="auto"/>
              <w:jc w:val="right"/>
            </w:pPr>
            <w:r>
              <w:rPr>
                <w:rStyle w:val="None"/>
                <w:sz w:val="22"/>
                <w:szCs w:val="22"/>
                <w:lang w:val="en-US"/>
              </w:rPr>
              <w:t>10,445 (32.0%)</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7665C60" w14:textId="77777777" w:rsidR="00A34650" w:rsidRDefault="00000000">
            <w:pPr>
              <w:pStyle w:val="Body"/>
              <w:spacing w:line="480" w:lineRule="auto"/>
              <w:jc w:val="right"/>
            </w:pPr>
            <w:r>
              <w:rPr>
                <w:rStyle w:val="None"/>
                <w:sz w:val="22"/>
                <w:szCs w:val="22"/>
                <w:lang w:val="en-US"/>
              </w:rPr>
              <w:t>815,555 (37.4%)</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CF298FB" w14:textId="77777777" w:rsidR="00A34650" w:rsidRDefault="00000000">
            <w:pPr>
              <w:pStyle w:val="Body"/>
              <w:spacing w:line="480" w:lineRule="auto"/>
            </w:pPr>
            <w:r>
              <w:rPr>
                <w:rStyle w:val="None"/>
                <w:sz w:val="22"/>
                <w:szCs w:val="22"/>
                <w:lang w:val="en-US"/>
              </w:rPr>
              <w:t>&lt;0.001</w:t>
            </w:r>
          </w:p>
        </w:tc>
      </w:tr>
      <w:tr w:rsidR="00A34650" w14:paraId="2CA791AF"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4B04285" w14:textId="77777777" w:rsidR="00A34650" w:rsidRDefault="00000000">
            <w:pPr>
              <w:pStyle w:val="Body"/>
              <w:spacing w:line="480" w:lineRule="auto"/>
            </w:pPr>
            <w:r>
              <w:rPr>
                <w:rStyle w:val="None"/>
                <w:sz w:val="22"/>
                <w:szCs w:val="22"/>
                <w:lang w:val="en-US"/>
              </w:rPr>
              <w:t xml:space="preserve">  CKD/ESRD</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8F4B497" w14:textId="77777777" w:rsidR="00A34650" w:rsidRDefault="00000000">
            <w:pPr>
              <w:pStyle w:val="Body"/>
              <w:spacing w:line="480" w:lineRule="auto"/>
              <w:jc w:val="right"/>
            </w:pPr>
            <w:r>
              <w:rPr>
                <w:rStyle w:val="None"/>
                <w:sz w:val="22"/>
                <w:szCs w:val="22"/>
                <w:lang w:val="en-US"/>
              </w:rPr>
              <w:t>9,685 (29.7%)</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EC1019D" w14:textId="77777777" w:rsidR="00A34650" w:rsidRDefault="00000000">
            <w:pPr>
              <w:pStyle w:val="Body"/>
              <w:spacing w:line="480" w:lineRule="auto"/>
              <w:jc w:val="right"/>
            </w:pPr>
            <w:r>
              <w:rPr>
                <w:rStyle w:val="None"/>
                <w:sz w:val="22"/>
                <w:szCs w:val="22"/>
                <w:lang w:val="en-US"/>
              </w:rPr>
              <w:t>786,615 (36.1%)</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D67A813" w14:textId="77777777" w:rsidR="00A34650" w:rsidRDefault="00000000">
            <w:pPr>
              <w:pStyle w:val="Body"/>
              <w:spacing w:line="480" w:lineRule="auto"/>
            </w:pPr>
            <w:r>
              <w:rPr>
                <w:rStyle w:val="None"/>
                <w:sz w:val="22"/>
                <w:szCs w:val="22"/>
                <w:lang w:val="en-US"/>
              </w:rPr>
              <w:t>&lt;0.001</w:t>
            </w:r>
          </w:p>
        </w:tc>
      </w:tr>
      <w:tr w:rsidR="00A34650" w14:paraId="1204262E"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38CA391" w14:textId="77777777" w:rsidR="00A34650" w:rsidRDefault="00000000">
            <w:pPr>
              <w:pStyle w:val="Body"/>
              <w:spacing w:line="480" w:lineRule="auto"/>
            </w:pPr>
            <w:r>
              <w:rPr>
                <w:rStyle w:val="None"/>
                <w:sz w:val="22"/>
                <w:szCs w:val="22"/>
                <w:lang w:val="en-US"/>
              </w:rPr>
              <w:t xml:space="preserve">  Hypothyroidism</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56BC5F9" w14:textId="77777777" w:rsidR="00A34650" w:rsidRDefault="00000000">
            <w:pPr>
              <w:pStyle w:val="Body"/>
              <w:spacing w:line="480" w:lineRule="auto"/>
              <w:jc w:val="right"/>
            </w:pPr>
            <w:r>
              <w:rPr>
                <w:rStyle w:val="None"/>
                <w:sz w:val="22"/>
                <w:szCs w:val="22"/>
                <w:lang w:val="en-US"/>
              </w:rPr>
              <w:t>4,095 (12.5%)</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296A233" w14:textId="77777777" w:rsidR="00A34650" w:rsidRDefault="00000000">
            <w:pPr>
              <w:pStyle w:val="Body"/>
              <w:spacing w:line="480" w:lineRule="auto"/>
              <w:jc w:val="right"/>
            </w:pPr>
            <w:r>
              <w:rPr>
                <w:rStyle w:val="None"/>
                <w:sz w:val="22"/>
                <w:szCs w:val="22"/>
                <w:lang w:val="en-US"/>
              </w:rPr>
              <w:t>276,645 (12.7%)</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D92F9A" w14:textId="77777777" w:rsidR="00A34650" w:rsidRDefault="00000000">
            <w:pPr>
              <w:pStyle w:val="Body"/>
              <w:spacing w:line="480" w:lineRule="auto"/>
            </w:pPr>
            <w:r>
              <w:rPr>
                <w:rStyle w:val="None"/>
                <w:sz w:val="22"/>
                <w:szCs w:val="22"/>
                <w:lang w:val="en-US"/>
              </w:rPr>
              <w:t>0.751</w:t>
            </w:r>
          </w:p>
        </w:tc>
      </w:tr>
      <w:tr w:rsidR="00A34650" w14:paraId="1F78FBAF"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4396729" w14:textId="77777777" w:rsidR="00A34650" w:rsidRDefault="00000000">
            <w:pPr>
              <w:pStyle w:val="Body"/>
              <w:spacing w:line="480" w:lineRule="auto"/>
            </w:pPr>
            <w:r>
              <w:rPr>
                <w:rStyle w:val="None"/>
                <w:sz w:val="22"/>
                <w:szCs w:val="22"/>
                <w:lang w:val="en-US"/>
              </w:rPr>
              <w:t xml:space="preserve">  Nutritional Anemia</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9376F6D" w14:textId="77777777" w:rsidR="00A34650" w:rsidRDefault="00000000">
            <w:pPr>
              <w:pStyle w:val="Body"/>
              <w:spacing w:line="480" w:lineRule="auto"/>
              <w:jc w:val="right"/>
            </w:pPr>
            <w:r>
              <w:rPr>
                <w:rStyle w:val="None"/>
                <w:sz w:val="22"/>
                <w:szCs w:val="22"/>
                <w:lang w:val="en-US"/>
              </w:rPr>
              <w:t>1,615 (4.9%)</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EBA9925" w14:textId="77777777" w:rsidR="00A34650" w:rsidRDefault="00000000">
            <w:pPr>
              <w:pStyle w:val="Body"/>
              <w:spacing w:line="480" w:lineRule="auto"/>
              <w:jc w:val="right"/>
            </w:pPr>
            <w:r>
              <w:rPr>
                <w:rStyle w:val="None"/>
                <w:sz w:val="22"/>
                <w:szCs w:val="22"/>
                <w:lang w:val="en-US"/>
              </w:rPr>
              <w:t>147,410 (6.8%)</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791CD2D" w14:textId="77777777" w:rsidR="00A34650" w:rsidRDefault="00000000">
            <w:pPr>
              <w:pStyle w:val="Body"/>
              <w:spacing w:line="480" w:lineRule="auto"/>
            </w:pPr>
            <w:r>
              <w:rPr>
                <w:rStyle w:val="None"/>
                <w:sz w:val="22"/>
                <w:szCs w:val="22"/>
                <w:lang w:val="en-US"/>
              </w:rPr>
              <w:t>&lt;0.001</w:t>
            </w:r>
          </w:p>
        </w:tc>
      </w:tr>
      <w:tr w:rsidR="00A34650" w14:paraId="7997F012"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F5C3539" w14:textId="77777777" w:rsidR="00A34650" w:rsidRDefault="00000000">
            <w:pPr>
              <w:pStyle w:val="Body"/>
              <w:spacing w:line="480" w:lineRule="auto"/>
            </w:pPr>
            <w:r>
              <w:rPr>
                <w:rStyle w:val="None"/>
                <w:sz w:val="22"/>
                <w:szCs w:val="22"/>
                <w:lang w:val="en-US"/>
              </w:rPr>
              <w:t xml:space="preserve">  DCM</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F72C4F2" w14:textId="77777777" w:rsidR="00A34650" w:rsidRDefault="00000000">
            <w:pPr>
              <w:pStyle w:val="Body"/>
              <w:spacing w:line="480" w:lineRule="auto"/>
              <w:jc w:val="right"/>
            </w:pPr>
            <w:r>
              <w:rPr>
                <w:rStyle w:val="None"/>
                <w:sz w:val="22"/>
                <w:szCs w:val="22"/>
                <w:lang w:val="en-US"/>
              </w:rPr>
              <w:t>3,345 (10.2%)</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0FA277E" w14:textId="77777777" w:rsidR="00A34650" w:rsidRDefault="00000000">
            <w:pPr>
              <w:pStyle w:val="Body"/>
              <w:spacing w:line="480" w:lineRule="auto"/>
              <w:jc w:val="right"/>
            </w:pPr>
            <w:r>
              <w:rPr>
                <w:rStyle w:val="None"/>
                <w:sz w:val="22"/>
                <w:szCs w:val="22"/>
                <w:lang w:val="en-US"/>
              </w:rPr>
              <w:t>123,165 (5.6%)</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7C9F3B9" w14:textId="77777777" w:rsidR="00A34650" w:rsidRDefault="00000000">
            <w:pPr>
              <w:pStyle w:val="Body"/>
              <w:spacing w:line="480" w:lineRule="auto"/>
            </w:pPr>
            <w:r>
              <w:rPr>
                <w:rStyle w:val="None"/>
                <w:sz w:val="22"/>
                <w:szCs w:val="22"/>
                <w:lang w:val="en-US"/>
              </w:rPr>
              <w:t>&lt;0.001</w:t>
            </w:r>
          </w:p>
        </w:tc>
      </w:tr>
      <w:tr w:rsidR="00A34650" w14:paraId="58B03859"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4E1EA02" w14:textId="77777777" w:rsidR="00A34650" w:rsidRDefault="00000000">
            <w:pPr>
              <w:pStyle w:val="Body"/>
              <w:spacing w:line="480" w:lineRule="auto"/>
            </w:pPr>
            <w:r>
              <w:rPr>
                <w:rStyle w:val="None"/>
                <w:sz w:val="22"/>
                <w:szCs w:val="22"/>
                <w:lang w:val="en-US"/>
              </w:rPr>
              <w:t xml:space="preserve">  HCM</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9DB3826" w14:textId="77777777" w:rsidR="00A34650" w:rsidRDefault="00000000">
            <w:pPr>
              <w:pStyle w:val="Body"/>
              <w:spacing w:line="480" w:lineRule="auto"/>
              <w:jc w:val="right"/>
            </w:pPr>
            <w:r>
              <w:rPr>
                <w:rStyle w:val="None"/>
                <w:sz w:val="22"/>
                <w:szCs w:val="22"/>
                <w:lang w:val="en-US"/>
              </w:rPr>
              <w:t>420 (1.3%)</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A05F972" w14:textId="77777777" w:rsidR="00A34650" w:rsidRDefault="00000000">
            <w:pPr>
              <w:pStyle w:val="Body"/>
              <w:spacing w:line="480" w:lineRule="auto"/>
              <w:jc w:val="right"/>
            </w:pPr>
            <w:r>
              <w:rPr>
                <w:rStyle w:val="None"/>
                <w:sz w:val="22"/>
                <w:szCs w:val="22"/>
                <w:lang w:val="en-US"/>
              </w:rPr>
              <w:t>20,050 (0.9%)</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3F7D22" w14:textId="77777777" w:rsidR="00A34650" w:rsidRDefault="00000000">
            <w:pPr>
              <w:pStyle w:val="Body"/>
              <w:spacing w:line="480" w:lineRule="auto"/>
            </w:pPr>
            <w:r>
              <w:rPr>
                <w:rStyle w:val="None"/>
                <w:sz w:val="22"/>
                <w:szCs w:val="22"/>
                <w:lang w:val="en-US"/>
              </w:rPr>
              <w:t>0.002</w:t>
            </w:r>
          </w:p>
        </w:tc>
      </w:tr>
      <w:tr w:rsidR="00A34650" w14:paraId="48F16E03" w14:textId="77777777">
        <w:trPr>
          <w:trHeight w:val="271"/>
        </w:trPr>
        <w:tc>
          <w:tcPr>
            <w:tcW w:w="3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B6E949C" w14:textId="77777777" w:rsidR="00A34650" w:rsidRDefault="00000000">
            <w:pPr>
              <w:pStyle w:val="Body"/>
              <w:spacing w:line="480" w:lineRule="auto"/>
            </w:pPr>
            <w:r>
              <w:rPr>
                <w:rStyle w:val="None"/>
                <w:sz w:val="22"/>
                <w:szCs w:val="22"/>
                <w:lang w:val="en-US"/>
              </w:rPr>
              <w:t xml:space="preserve">  COVID-19</w:t>
            </w:r>
          </w:p>
        </w:tc>
        <w:tc>
          <w:tcPr>
            <w:tcW w:w="1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C481331" w14:textId="77777777" w:rsidR="00A34650" w:rsidRDefault="00000000">
            <w:pPr>
              <w:pStyle w:val="Body"/>
              <w:spacing w:line="480" w:lineRule="auto"/>
              <w:jc w:val="right"/>
            </w:pPr>
            <w:r>
              <w:rPr>
                <w:rStyle w:val="None"/>
                <w:sz w:val="22"/>
                <w:szCs w:val="22"/>
                <w:lang w:val="en-US"/>
              </w:rPr>
              <w:t>115 (0.4%)</w:t>
            </w:r>
          </w:p>
        </w:tc>
        <w:tc>
          <w:tcPr>
            <w:tcW w:w="18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41515A4" w14:textId="77777777" w:rsidR="00A34650" w:rsidRDefault="00000000">
            <w:pPr>
              <w:pStyle w:val="Body"/>
              <w:spacing w:line="480" w:lineRule="auto"/>
              <w:jc w:val="right"/>
            </w:pPr>
            <w:r>
              <w:rPr>
                <w:rStyle w:val="None"/>
                <w:sz w:val="22"/>
                <w:szCs w:val="22"/>
                <w:lang w:val="en-US"/>
              </w:rPr>
              <w:t>72,850 (3.3%)</w:t>
            </w:r>
          </w:p>
        </w:tc>
        <w:tc>
          <w:tcPr>
            <w:tcW w:w="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7EC226C" w14:textId="77777777" w:rsidR="00A34650" w:rsidRDefault="00000000">
            <w:pPr>
              <w:pStyle w:val="Body"/>
              <w:spacing w:line="480" w:lineRule="auto"/>
            </w:pPr>
            <w:r>
              <w:rPr>
                <w:rStyle w:val="None"/>
                <w:sz w:val="22"/>
                <w:szCs w:val="22"/>
                <w:lang w:val="en-US"/>
              </w:rPr>
              <w:t>&lt;0.001</w:t>
            </w:r>
          </w:p>
        </w:tc>
      </w:tr>
    </w:tbl>
    <w:p w14:paraId="71164EB1" w14:textId="77777777" w:rsidR="00A34650" w:rsidRDefault="00A34650">
      <w:pPr>
        <w:pStyle w:val="Body"/>
        <w:widowControl w:val="0"/>
        <w:spacing w:before="240" w:after="240"/>
        <w:ind w:left="324" w:hanging="324"/>
        <w:rPr>
          <w:rStyle w:val="None"/>
          <w:b/>
          <w:bCs/>
          <w:sz w:val="22"/>
          <w:szCs w:val="22"/>
        </w:rPr>
      </w:pPr>
    </w:p>
    <w:p w14:paraId="7FD5C1D3" w14:textId="77777777" w:rsidR="00A34650" w:rsidRDefault="00A34650">
      <w:pPr>
        <w:pStyle w:val="Body"/>
        <w:widowControl w:val="0"/>
        <w:spacing w:before="240" w:after="240"/>
        <w:ind w:left="216" w:hanging="216"/>
        <w:rPr>
          <w:b/>
          <w:bCs/>
          <w:sz w:val="22"/>
          <w:szCs w:val="22"/>
        </w:rPr>
      </w:pPr>
    </w:p>
    <w:p w14:paraId="4679C0A6" w14:textId="77777777" w:rsidR="00A34650" w:rsidRDefault="00A34650">
      <w:pPr>
        <w:pStyle w:val="Body"/>
        <w:widowControl w:val="0"/>
        <w:spacing w:before="240" w:after="240"/>
        <w:ind w:left="108" w:hanging="108"/>
        <w:rPr>
          <w:b/>
          <w:bCs/>
          <w:sz w:val="22"/>
          <w:szCs w:val="22"/>
        </w:rPr>
      </w:pPr>
    </w:p>
    <w:p w14:paraId="47E08A07" w14:textId="77777777" w:rsidR="00A34650" w:rsidRDefault="00000000">
      <w:pPr>
        <w:pStyle w:val="Body"/>
        <w:spacing w:line="480" w:lineRule="auto"/>
        <w:rPr>
          <w:rStyle w:val="None"/>
          <w:b/>
          <w:bCs/>
          <w:sz w:val="22"/>
          <w:szCs w:val="22"/>
        </w:rPr>
      </w:pP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lastRenderedPageBreak/>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None"/>
          <w:b/>
          <w:bCs/>
          <w:lang w:val="en-US"/>
        </w:rPr>
        <w:t>Table 2. Multivariate analysis of outcomes in the ablation group while adjusting for comorbidities and demographics (reference: No ablation group).</w:t>
      </w:r>
      <w:r>
        <w:rPr>
          <w:rStyle w:val="Hyperlink1"/>
        </w:rPr>
        <w:br/>
      </w:r>
    </w:p>
    <w:tbl>
      <w:tblPr>
        <w:tblW w:w="73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05"/>
        <w:gridCol w:w="2142"/>
        <w:gridCol w:w="1350"/>
        <w:gridCol w:w="1763"/>
      </w:tblGrid>
      <w:tr w:rsidR="00A34650" w14:paraId="20B59D6D" w14:textId="77777777">
        <w:trPr>
          <w:trHeight w:val="320"/>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1C13B3" w14:textId="77777777" w:rsidR="00A34650" w:rsidRDefault="00A34650"/>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C2C75BF" w14:textId="77777777" w:rsidR="00A34650" w:rsidRDefault="00000000">
            <w:pPr>
              <w:pStyle w:val="Body"/>
              <w:spacing w:line="480" w:lineRule="auto"/>
              <w:jc w:val="center"/>
            </w:pPr>
            <w:r>
              <w:rPr>
                <w:rStyle w:val="None"/>
                <w:b/>
                <w:bCs/>
                <w:sz w:val="22"/>
                <w:szCs w:val="22"/>
                <w:lang w:val="en-US"/>
              </w:rPr>
              <w:t>Adjusted OR</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0ADF14F" w14:textId="77777777" w:rsidR="00A34650" w:rsidRDefault="00000000">
            <w:pPr>
              <w:pStyle w:val="Body"/>
              <w:spacing w:line="480" w:lineRule="auto"/>
              <w:jc w:val="center"/>
            </w:pPr>
            <w:r>
              <w:rPr>
                <w:rStyle w:val="None"/>
                <w:b/>
                <w:bCs/>
                <w:sz w:val="22"/>
                <w:szCs w:val="22"/>
                <w:lang w:val="en-US"/>
              </w:rPr>
              <w:t>95% CI</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C0F4421" w14:textId="77777777" w:rsidR="00A34650" w:rsidRDefault="00000000">
            <w:pPr>
              <w:pStyle w:val="Body"/>
              <w:spacing w:line="480" w:lineRule="auto"/>
              <w:jc w:val="center"/>
            </w:pPr>
            <w:r>
              <w:rPr>
                <w:rStyle w:val="None"/>
                <w:b/>
                <w:bCs/>
                <w:sz w:val="22"/>
                <w:szCs w:val="22"/>
                <w:lang w:val="en-US"/>
              </w:rPr>
              <w:t>p</w:t>
            </w:r>
          </w:p>
        </w:tc>
      </w:tr>
      <w:tr w:rsidR="00A34650" w14:paraId="44F2BAD5"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26526C0" w14:textId="77777777" w:rsidR="00A34650" w:rsidRDefault="00000000">
            <w:pPr>
              <w:pStyle w:val="Body"/>
              <w:spacing w:line="480" w:lineRule="auto"/>
            </w:pPr>
            <w:r>
              <w:rPr>
                <w:rStyle w:val="None"/>
                <w:sz w:val="22"/>
                <w:szCs w:val="22"/>
                <w:lang w:val="en-US"/>
              </w:rPr>
              <w:t>In hospital mortality</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D8C90E2" w14:textId="77777777" w:rsidR="00A34650" w:rsidRDefault="00000000">
            <w:pPr>
              <w:pStyle w:val="Body"/>
              <w:spacing w:line="480" w:lineRule="auto"/>
              <w:jc w:val="right"/>
            </w:pPr>
            <w:r>
              <w:rPr>
                <w:rStyle w:val="None"/>
                <w:sz w:val="22"/>
                <w:szCs w:val="22"/>
                <w:lang w:val="en-US"/>
              </w:rPr>
              <w:t>0.28</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49EEEC5" w14:textId="77777777" w:rsidR="00A34650" w:rsidRDefault="00000000">
            <w:pPr>
              <w:pStyle w:val="Body"/>
              <w:spacing w:line="480" w:lineRule="auto"/>
              <w:jc w:val="right"/>
            </w:pPr>
            <w:r>
              <w:rPr>
                <w:rStyle w:val="None"/>
                <w:sz w:val="22"/>
                <w:szCs w:val="22"/>
                <w:lang w:val="en-US"/>
              </w:rPr>
              <w:t>0.24-0.32</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03AA5AD" w14:textId="77777777" w:rsidR="00A34650" w:rsidRDefault="00000000">
            <w:pPr>
              <w:pStyle w:val="Body"/>
              <w:spacing w:line="480" w:lineRule="auto"/>
              <w:jc w:val="right"/>
            </w:pPr>
            <w:r>
              <w:rPr>
                <w:rStyle w:val="None"/>
                <w:sz w:val="22"/>
                <w:szCs w:val="22"/>
                <w:lang w:val="en-US"/>
              </w:rPr>
              <w:t>&lt;0.001</w:t>
            </w:r>
          </w:p>
        </w:tc>
      </w:tr>
      <w:tr w:rsidR="00A34650" w14:paraId="5B5C3D16"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EF6672E" w14:textId="77777777" w:rsidR="00A34650" w:rsidRDefault="00000000">
            <w:pPr>
              <w:pStyle w:val="Body"/>
              <w:spacing w:line="480" w:lineRule="auto"/>
            </w:pPr>
            <w:r>
              <w:rPr>
                <w:rStyle w:val="None"/>
                <w:sz w:val="22"/>
                <w:szCs w:val="22"/>
                <w:lang w:val="en-US"/>
              </w:rPr>
              <w:t>ST Elevated MI</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DE11578" w14:textId="77777777" w:rsidR="00A34650" w:rsidRDefault="00000000">
            <w:pPr>
              <w:pStyle w:val="Body"/>
              <w:spacing w:line="480" w:lineRule="auto"/>
              <w:jc w:val="right"/>
            </w:pPr>
            <w:r>
              <w:rPr>
                <w:rStyle w:val="None"/>
                <w:sz w:val="22"/>
                <w:szCs w:val="22"/>
                <w:lang w:val="en-US"/>
              </w:rPr>
              <w:t>0.32</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F017A8D" w14:textId="77777777" w:rsidR="00A34650" w:rsidRDefault="00000000">
            <w:pPr>
              <w:pStyle w:val="Body"/>
              <w:spacing w:line="480" w:lineRule="auto"/>
              <w:jc w:val="right"/>
            </w:pPr>
            <w:r>
              <w:rPr>
                <w:rStyle w:val="None"/>
                <w:sz w:val="22"/>
                <w:szCs w:val="22"/>
                <w:lang w:val="en-US"/>
              </w:rPr>
              <w:t>0.29-0.35</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6C76AE1" w14:textId="77777777" w:rsidR="00A34650" w:rsidRDefault="00000000">
            <w:pPr>
              <w:pStyle w:val="Body"/>
              <w:spacing w:line="480" w:lineRule="auto"/>
              <w:jc w:val="right"/>
            </w:pPr>
            <w:r>
              <w:rPr>
                <w:rStyle w:val="None"/>
                <w:sz w:val="22"/>
                <w:szCs w:val="22"/>
                <w:lang w:val="en-US"/>
              </w:rPr>
              <w:t>&lt;0.001</w:t>
            </w:r>
          </w:p>
        </w:tc>
      </w:tr>
      <w:tr w:rsidR="00A34650" w14:paraId="2680668F"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CA05EDD" w14:textId="77777777" w:rsidR="00A34650" w:rsidRDefault="00000000">
            <w:pPr>
              <w:pStyle w:val="Body"/>
              <w:spacing w:line="480" w:lineRule="auto"/>
            </w:pPr>
            <w:r>
              <w:rPr>
                <w:rStyle w:val="None"/>
                <w:sz w:val="22"/>
                <w:szCs w:val="22"/>
                <w:lang w:val="en-US"/>
              </w:rPr>
              <w:t>Acute Heart Failure</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F643760" w14:textId="77777777" w:rsidR="00A34650" w:rsidRDefault="00000000">
            <w:pPr>
              <w:pStyle w:val="Body"/>
              <w:spacing w:line="480" w:lineRule="auto"/>
              <w:jc w:val="right"/>
            </w:pPr>
            <w:r>
              <w:rPr>
                <w:rStyle w:val="None"/>
                <w:sz w:val="22"/>
                <w:szCs w:val="22"/>
                <w:lang w:val="en-US"/>
              </w:rPr>
              <w:t>0.99</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2AD37B7" w14:textId="77777777" w:rsidR="00A34650" w:rsidRDefault="00000000">
            <w:pPr>
              <w:pStyle w:val="Body"/>
              <w:spacing w:line="480" w:lineRule="auto"/>
              <w:jc w:val="right"/>
            </w:pPr>
            <w:r>
              <w:rPr>
                <w:rStyle w:val="None"/>
                <w:sz w:val="22"/>
                <w:szCs w:val="22"/>
                <w:lang w:val="en-US"/>
              </w:rPr>
              <w:t>0.93-1.07</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A3F3927" w14:textId="77777777" w:rsidR="00A34650" w:rsidRDefault="00000000">
            <w:pPr>
              <w:pStyle w:val="Body"/>
              <w:spacing w:line="480" w:lineRule="auto"/>
              <w:jc w:val="right"/>
            </w:pPr>
            <w:r>
              <w:rPr>
                <w:rStyle w:val="None"/>
                <w:sz w:val="22"/>
                <w:szCs w:val="22"/>
                <w:lang w:val="en-US"/>
              </w:rPr>
              <w:t>0.941</w:t>
            </w:r>
          </w:p>
        </w:tc>
      </w:tr>
      <w:tr w:rsidR="00A34650" w14:paraId="20D7386B"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6EB4A2D" w14:textId="77777777" w:rsidR="00A34650" w:rsidRDefault="00000000">
            <w:pPr>
              <w:pStyle w:val="Body"/>
              <w:spacing w:line="480" w:lineRule="auto"/>
            </w:pPr>
            <w:r>
              <w:rPr>
                <w:rStyle w:val="None"/>
                <w:sz w:val="22"/>
                <w:szCs w:val="22"/>
                <w:lang w:val="en-US"/>
              </w:rPr>
              <w:t>Cardiogenic Shock</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B896C1A" w14:textId="77777777" w:rsidR="00A34650" w:rsidRDefault="00000000">
            <w:pPr>
              <w:pStyle w:val="Body"/>
              <w:spacing w:line="480" w:lineRule="auto"/>
              <w:jc w:val="right"/>
            </w:pPr>
            <w:r>
              <w:rPr>
                <w:rStyle w:val="None"/>
                <w:sz w:val="22"/>
                <w:szCs w:val="22"/>
                <w:lang w:val="en-US"/>
              </w:rPr>
              <w:t>1.10</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204ED6C" w14:textId="77777777" w:rsidR="00A34650" w:rsidRDefault="00000000">
            <w:pPr>
              <w:pStyle w:val="Body"/>
              <w:spacing w:line="480" w:lineRule="auto"/>
              <w:jc w:val="right"/>
            </w:pPr>
            <w:r>
              <w:rPr>
                <w:rStyle w:val="None"/>
                <w:sz w:val="22"/>
                <w:szCs w:val="22"/>
                <w:lang w:val="en-US"/>
              </w:rPr>
              <w:t>1.01-1.20</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15291E" w14:textId="77777777" w:rsidR="00A34650" w:rsidRDefault="00000000">
            <w:pPr>
              <w:pStyle w:val="Body"/>
              <w:spacing w:line="480" w:lineRule="auto"/>
              <w:jc w:val="right"/>
            </w:pPr>
            <w:r>
              <w:rPr>
                <w:rStyle w:val="None"/>
                <w:sz w:val="22"/>
                <w:szCs w:val="22"/>
                <w:lang w:val="en-US"/>
              </w:rPr>
              <w:t>0.036</w:t>
            </w:r>
          </w:p>
        </w:tc>
      </w:tr>
      <w:tr w:rsidR="00A34650" w14:paraId="119D2E8E"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B9C3683" w14:textId="77777777" w:rsidR="00A34650" w:rsidRDefault="00000000">
            <w:pPr>
              <w:pStyle w:val="Body"/>
              <w:spacing w:line="480" w:lineRule="auto"/>
            </w:pPr>
            <w:r>
              <w:rPr>
                <w:rStyle w:val="None"/>
                <w:sz w:val="22"/>
                <w:szCs w:val="22"/>
                <w:lang w:val="en-US"/>
              </w:rPr>
              <w:t>MCS</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2E43108" w14:textId="77777777" w:rsidR="00A34650" w:rsidRDefault="00000000">
            <w:pPr>
              <w:pStyle w:val="Body"/>
              <w:spacing w:line="480" w:lineRule="auto"/>
              <w:jc w:val="right"/>
            </w:pPr>
            <w:r>
              <w:rPr>
                <w:rStyle w:val="None"/>
                <w:sz w:val="22"/>
                <w:szCs w:val="22"/>
                <w:lang w:val="en-US"/>
              </w:rPr>
              <w:t>1.32</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7739DA0B" w14:textId="77777777" w:rsidR="00A34650" w:rsidRDefault="00000000">
            <w:pPr>
              <w:pStyle w:val="Body"/>
              <w:spacing w:line="480" w:lineRule="auto"/>
              <w:jc w:val="right"/>
            </w:pPr>
            <w:r>
              <w:rPr>
                <w:rStyle w:val="None"/>
                <w:sz w:val="22"/>
                <w:szCs w:val="22"/>
                <w:lang w:val="en-US"/>
              </w:rPr>
              <w:t>1.17-1.49</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16EC58C" w14:textId="77777777" w:rsidR="00A34650" w:rsidRDefault="00000000">
            <w:pPr>
              <w:pStyle w:val="Body"/>
              <w:spacing w:line="480" w:lineRule="auto"/>
              <w:jc w:val="right"/>
            </w:pPr>
            <w:r>
              <w:rPr>
                <w:rStyle w:val="None"/>
                <w:sz w:val="22"/>
                <w:szCs w:val="22"/>
                <w:lang w:val="en-US"/>
              </w:rPr>
              <w:t>&lt;0.001</w:t>
            </w:r>
          </w:p>
        </w:tc>
      </w:tr>
      <w:tr w:rsidR="00A34650" w14:paraId="20D180A7" w14:textId="77777777">
        <w:trPr>
          <w:trHeight w:val="74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60FB4E2" w14:textId="77777777" w:rsidR="00A34650" w:rsidRDefault="00000000">
            <w:pPr>
              <w:pStyle w:val="Body"/>
              <w:spacing w:line="480" w:lineRule="auto"/>
            </w:pPr>
            <w:r>
              <w:rPr>
                <w:rStyle w:val="None"/>
                <w:sz w:val="22"/>
                <w:szCs w:val="22"/>
                <w:lang w:val="en-US"/>
              </w:rPr>
              <w:t>MACE (Death/STEMI/CS)</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39B2964" w14:textId="77777777" w:rsidR="00A34650" w:rsidRDefault="00000000">
            <w:pPr>
              <w:pStyle w:val="Body"/>
              <w:spacing w:line="480" w:lineRule="auto"/>
              <w:jc w:val="right"/>
            </w:pPr>
            <w:r>
              <w:rPr>
                <w:rStyle w:val="None"/>
                <w:sz w:val="22"/>
                <w:szCs w:val="22"/>
                <w:lang w:val="en-US"/>
              </w:rPr>
              <w:t>0.44</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28FB70B" w14:textId="77777777" w:rsidR="00A34650" w:rsidRDefault="00000000">
            <w:pPr>
              <w:pStyle w:val="Body"/>
              <w:spacing w:line="480" w:lineRule="auto"/>
              <w:jc w:val="right"/>
            </w:pPr>
            <w:r>
              <w:rPr>
                <w:rStyle w:val="None"/>
                <w:sz w:val="22"/>
                <w:szCs w:val="22"/>
                <w:lang w:val="en-US"/>
              </w:rPr>
              <w:t>0.41-0.48</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E6E1968" w14:textId="77777777" w:rsidR="00A34650" w:rsidRDefault="00000000">
            <w:pPr>
              <w:pStyle w:val="Body"/>
              <w:spacing w:line="480" w:lineRule="auto"/>
              <w:jc w:val="right"/>
            </w:pPr>
            <w:r>
              <w:rPr>
                <w:rStyle w:val="None"/>
                <w:sz w:val="22"/>
                <w:szCs w:val="22"/>
                <w:lang w:val="en-US"/>
              </w:rPr>
              <w:t>&lt;0.001</w:t>
            </w:r>
          </w:p>
        </w:tc>
      </w:tr>
      <w:tr w:rsidR="00A34650" w14:paraId="229EBD2B"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041404A" w14:textId="77777777" w:rsidR="00A34650" w:rsidRDefault="00000000">
            <w:pPr>
              <w:pStyle w:val="Body"/>
              <w:spacing w:line="480" w:lineRule="auto"/>
            </w:pPr>
            <w:r>
              <w:rPr>
                <w:rStyle w:val="None"/>
                <w:sz w:val="22"/>
                <w:szCs w:val="22"/>
                <w:lang w:val="en-US"/>
              </w:rPr>
              <w:lastRenderedPageBreak/>
              <w:t>Tamponade</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024C2483" w14:textId="77777777" w:rsidR="00A34650" w:rsidRDefault="00000000">
            <w:pPr>
              <w:pStyle w:val="Body"/>
              <w:spacing w:line="480" w:lineRule="auto"/>
              <w:jc w:val="right"/>
            </w:pPr>
            <w:r>
              <w:rPr>
                <w:rStyle w:val="None"/>
                <w:sz w:val="22"/>
                <w:szCs w:val="22"/>
                <w:lang w:val="en-US"/>
              </w:rPr>
              <w:t>4.84</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E216FF6" w14:textId="77777777" w:rsidR="00A34650" w:rsidRDefault="00000000">
            <w:pPr>
              <w:pStyle w:val="Body"/>
              <w:spacing w:line="480" w:lineRule="auto"/>
              <w:jc w:val="right"/>
            </w:pPr>
            <w:r>
              <w:rPr>
                <w:rStyle w:val="None"/>
                <w:sz w:val="22"/>
                <w:szCs w:val="22"/>
                <w:lang w:val="en-US"/>
              </w:rPr>
              <w:t>3.94-5.94</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3D0F6F4" w14:textId="77777777" w:rsidR="00A34650" w:rsidRDefault="00000000">
            <w:pPr>
              <w:pStyle w:val="Body"/>
              <w:spacing w:line="480" w:lineRule="auto"/>
              <w:jc w:val="right"/>
            </w:pPr>
            <w:r>
              <w:rPr>
                <w:rStyle w:val="None"/>
                <w:sz w:val="22"/>
                <w:szCs w:val="22"/>
                <w:lang w:val="en-US"/>
              </w:rPr>
              <w:t>&lt;0.001</w:t>
            </w:r>
          </w:p>
        </w:tc>
      </w:tr>
      <w:tr w:rsidR="00A34650" w14:paraId="4FDE6C01" w14:textId="77777777">
        <w:trPr>
          <w:trHeight w:val="271"/>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ECBDBE2" w14:textId="77777777" w:rsidR="00A34650" w:rsidRDefault="00000000">
            <w:pPr>
              <w:pStyle w:val="Body"/>
              <w:spacing w:line="480" w:lineRule="auto"/>
            </w:pPr>
            <w:r>
              <w:rPr>
                <w:rStyle w:val="None"/>
                <w:sz w:val="22"/>
                <w:szCs w:val="22"/>
                <w:lang w:val="en-US"/>
              </w:rPr>
              <w:t>Sepsis</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DBF4EF6" w14:textId="77777777" w:rsidR="00A34650" w:rsidRDefault="00000000">
            <w:pPr>
              <w:pStyle w:val="Body"/>
              <w:spacing w:line="480" w:lineRule="auto"/>
              <w:jc w:val="right"/>
            </w:pPr>
            <w:r>
              <w:rPr>
                <w:rStyle w:val="None"/>
                <w:sz w:val="22"/>
                <w:szCs w:val="22"/>
                <w:lang w:val="en-US"/>
              </w:rPr>
              <w:t>0.26</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F44EF63" w14:textId="77777777" w:rsidR="00A34650" w:rsidRDefault="00000000">
            <w:pPr>
              <w:pStyle w:val="Body"/>
              <w:spacing w:line="480" w:lineRule="auto"/>
              <w:jc w:val="right"/>
            </w:pPr>
            <w:r>
              <w:rPr>
                <w:rStyle w:val="None"/>
                <w:sz w:val="22"/>
                <w:szCs w:val="22"/>
                <w:lang w:val="en-US"/>
              </w:rPr>
              <w:t>0.22-0.30</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32A06F66" w14:textId="77777777" w:rsidR="00A34650" w:rsidRDefault="00000000">
            <w:pPr>
              <w:pStyle w:val="Body"/>
              <w:spacing w:line="480" w:lineRule="auto"/>
              <w:jc w:val="right"/>
            </w:pPr>
            <w:r>
              <w:rPr>
                <w:rStyle w:val="None"/>
                <w:sz w:val="22"/>
                <w:szCs w:val="22"/>
                <w:lang w:val="en-US"/>
              </w:rPr>
              <w:t>&lt;0.001</w:t>
            </w:r>
          </w:p>
        </w:tc>
      </w:tr>
      <w:tr w:rsidR="00A34650" w14:paraId="1ECEC65C" w14:textId="77777777">
        <w:trPr>
          <w:trHeight w:val="290"/>
        </w:trPr>
        <w:tc>
          <w:tcPr>
            <w:tcW w:w="21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22E234F0" w14:textId="77777777" w:rsidR="00A34650" w:rsidRDefault="00000000">
            <w:pPr>
              <w:pStyle w:val="Body"/>
              <w:spacing w:line="480" w:lineRule="auto"/>
            </w:pPr>
            <w:r>
              <w:rPr>
                <w:rStyle w:val="None"/>
                <w:rFonts w:ascii="Gungsuh" w:eastAsia="Gungsuh" w:hAnsi="Gungsuh" w:cs="Gungsuh"/>
                <w:sz w:val="22"/>
                <w:szCs w:val="22"/>
                <w:lang w:val="en-US"/>
              </w:rPr>
              <w:t>LOS ≥7 days</w:t>
            </w:r>
          </w:p>
        </w:tc>
        <w:tc>
          <w:tcPr>
            <w:tcW w:w="21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B15951B" w14:textId="77777777" w:rsidR="00A34650" w:rsidRDefault="00000000">
            <w:pPr>
              <w:pStyle w:val="Body"/>
              <w:spacing w:line="480" w:lineRule="auto"/>
              <w:jc w:val="right"/>
            </w:pPr>
            <w:r>
              <w:rPr>
                <w:rStyle w:val="None"/>
                <w:sz w:val="22"/>
                <w:szCs w:val="22"/>
                <w:lang w:val="en-US"/>
              </w:rPr>
              <w:t>0.96</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6606164E" w14:textId="77777777" w:rsidR="00A34650" w:rsidRDefault="00000000">
            <w:pPr>
              <w:pStyle w:val="Body"/>
              <w:spacing w:line="480" w:lineRule="auto"/>
              <w:jc w:val="right"/>
            </w:pPr>
            <w:r>
              <w:rPr>
                <w:rStyle w:val="None"/>
                <w:sz w:val="22"/>
                <w:szCs w:val="22"/>
                <w:lang w:val="en-US"/>
              </w:rPr>
              <w:t>0.91-1.01</w:t>
            </w:r>
          </w:p>
        </w:tc>
        <w:tc>
          <w:tcPr>
            <w:tcW w:w="17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1292A4F3" w14:textId="77777777" w:rsidR="00A34650" w:rsidRDefault="00000000">
            <w:pPr>
              <w:pStyle w:val="Body"/>
              <w:spacing w:line="480" w:lineRule="auto"/>
              <w:jc w:val="right"/>
            </w:pPr>
            <w:r>
              <w:rPr>
                <w:rStyle w:val="None"/>
                <w:sz w:val="22"/>
                <w:szCs w:val="22"/>
                <w:lang w:val="en-US"/>
              </w:rPr>
              <w:t>0.104</w:t>
            </w:r>
          </w:p>
        </w:tc>
      </w:tr>
    </w:tbl>
    <w:p w14:paraId="7D9C8738" w14:textId="77777777" w:rsidR="00A34650" w:rsidRDefault="00A34650">
      <w:pPr>
        <w:pStyle w:val="Body"/>
        <w:widowControl w:val="0"/>
        <w:ind w:left="324" w:hanging="324"/>
        <w:rPr>
          <w:rStyle w:val="None"/>
          <w:b/>
          <w:bCs/>
          <w:sz w:val="22"/>
          <w:szCs w:val="22"/>
        </w:rPr>
      </w:pPr>
    </w:p>
    <w:p w14:paraId="78FC5A57" w14:textId="77777777" w:rsidR="00A34650" w:rsidRDefault="00A34650">
      <w:pPr>
        <w:pStyle w:val="Body"/>
        <w:widowControl w:val="0"/>
        <w:ind w:left="216" w:hanging="216"/>
        <w:rPr>
          <w:b/>
          <w:bCs/>
          <w:sz w:val="22"/>
          <w:szCs w:val="22"/>
        </w:rPr>
      </w:pPr>
    </w:p>
    <w:p w14:paraId="0422A422" w14:textId="77777777" w:rsidR="00A34650" w:rsidRDefault="00A34650">
      <w:pPr>
        <w:pStyle w:val="Body"/>
        <w:widowControl w:val="0"/>
        <w:ind w:left="108" w:hanging="108"/>
        <w:rPr>
          <w:b/>
          <w:bCs/>
          <w:sz w:val="22"/>
          <w:szCs w:val="22"/>
        </w:rPr>
      </w:pPr>
    </w:p>
    <w:p w14:paraId="3FFF6ED0" w14:textId="77777777" w:rsidR="00A34650" w:rsidRDefault="00A34650">
      <w:pPr>
        <w:pStyle w:val="Body"/>
        <w:widowControl w:val="0"/>
        <w:rPr>
          <w:b/>
          <w:bCs/>
          <w:sz w:val="22"/>
          <w:szCs w:val="22"/>
        </w:rPr>
      </w:pPr>
    </w:p>
    <w:p w14:paraId="454AFFD3" w14:textId="77777777" w:rsidR="00A34650" w:rsidRDefault="00000000">
      <w:pPr>
        <w:pStyle w:val="Body"/>
        <w:spacing w:line="480" w:lineRule="auto"/>
        <w:rPr>
          <w:rStyle w:val="Hyperlink1"/>
        </w:rPr>
      </w:pP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Hyperlink1"/>
        </w:rPr>
        <w:br/>
      </w:r>
      <w:r>
        <w:rPr>
          <w:rStyle w:val="None"/>
          <w:b/>
          <w:bCs/>
          <w:sz w:val="26"/>
          <w:szCs w:val="26"/>
        </w:rPr>
        <w:t>Table 3.</w:t>
      </w:r>
      <w:r>
        <w:rPr>
          <w:rStyle w:val="None"/>
          <w:sz w:val="26"/>
          <w:szCs w:val="26"/>
          <w:lang w:val="en-US"/>
        </w:rPr>
        <w:t xml:space="preserve"> Outcomes and propensity score matching analysis.</w:t>
      </w:r>
    </w:p>
    <w:tbl>
      <w:tblPr>
        <w:tblW w:w="1029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00"/>
        <w:gridCol w:w="2145"/>
        <w:gridCol w:w="1350"/>
        <w:gridCol w:w="1770"/>
        <w:gridCol w:w="2010"/>
        <w:gridCol w:w="915"/>
      </w:tblGrid>
      <w:tr w:rsidR="00A34650" w14:paraId="6AB48E6A" w14:textId="77777777">
        <w:trPr>
          <w:trHeight w:val="411"/>
        </w:trPr>
        <w:tc>
          <w:tcPr>
            <w:tcW w:w="2100" w:type="dxa"/>
            <w:vMerge w:val="restart"/>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69450875" w14:textId="77777777" w:rsidR="00A34650" w:rsidRDefault="00A34650"/>
        </w:tc>
        <w:tc>
          <w:tcPr>
            <w:tcW w:w="3495" w:type="dxa"/>
            <w:gridSpan w:val="2"/>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1862634C" w14:textId="77777777" w:rsidR="00A34650" w:rsidRDefault="00000000">
            <w:pPr>
              <w:pStyle w:val="Body"/>
              <w:spacing w:line="480" w:lineRule="auto"/>
            </w:pPr>
            <w:r>
              <w:rPr>
                <w:rStyle w:val="None"/>
                <w:b/>
                <w:bCs/>
                <w:sz w:val="22"/>
                <w:szCs w:val="22"/>
                <w:lang w:val="en-US"/>
              </w:rPr>
              <w:t>Before Propensity Score Matching</w:t>
            </w:r>
          </w:p>
        </w:tc>
        <w:tc>
          <w:tcPr>
            <w:tcW w:w="3780" w:type="dxa"/>
            <w:gridSpan w:val="2"/>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11881894" w14:textId="77777777" w:rsidR="00A34650" w:rsidRDefault="00000000">
            <w:pPr>
              <w:pStyle w:val="Body"/>
              <w:spacing w:line="480" w:lineRule="auto"/>
            </w:pPr>
            <w:r>
              <w:rPr>
                <w:rStyle w:val="None"/>
                <w:b/>
                <w:bCs/>
                <w:sz w:val="22"/>
                <w:szCs w:val="22"/>
                <w:lang w:val="en-US"/>
              </w:rPr>
              <w:t xml:space="preserve"> After Propensity Score Matching</w:t>
            </w:r>
          </w:p>
        </w:tc>
        <w:tc>
          <w:tcPr>
            <w:tcW w:w="915" w:type="dxa"/>
            <w:vMerge w:val="restart"/>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2D23A18F" w14:textId="77777777" w:rsidR="00A34650" w:rsidRDefault="00A34650">
            <w:pPr>
              <w:pStyle w:val="Body"/>
              <w:spacing w:line="480" w:lineRule="auto"/>
              <w:rPr>
                <w:rStyle w:val="None"/>
                <w:b/>
                <w:bCs/>
                <w:sz w:val="22"/>
                <w:szCs w:val="22"/>
                <w:lang w:val="en-US"/>
              </w:rPr>
            </w:pPr>
          </w:p>
          <w:p w14:paraId="4AF9C2D7" w14:textId="77777777" w:rsidR="00A34650" w:rsidRDefault="00000000">
            <w:pPr>
              <w:pStyle w:val="Body"/>
              <w:spacing w:line="480" w:lineRule="auto"/>
            </w:pPr>
            <w:r>
              <w:rPr>
                <w:rStyle w:val="None"/>
                <w:b/>
                <w:bCs/>
                <w:sz w:val="22"/>
                <w:szCs w:val="22"/>
                <w:lang w:val="en-US"/>
              </w:rPr>
              <w:t xml:space="preserve">    p</w:t>
            </w:r>
          </w:p>
        </w:tc>
      </w:tr>
      <w:tr w:rsidR="00A34650" w14:paraId="39F4A0B8" w14:textId="77777777">
        <w:trPr>
          <w:trHeight w:val="488"/>
        </w:trPr>
        <w:tc>
          <w:tcPr>
            <w:tcW w:w="2100" w:type="dxa"/>
            <w:vMerge/>
            <w:tcBorders>
              <w:top w:val="single" w:sz="4" w:space="0" w:color="000000"/>
              <w:left w:val="single" w:sz="4" w:space="0" w:color="000000"/>
              <w:bottom w:val="single" w:sz="4" w:space="0" w:color="000000"/>
              <w:right w:val="single" w:sz="4" w:space="0" w:color="000000"/>
            </w:tcBorders>
            <w:shd w:val="clear" w:color="auto" w:fill="E8E8E8"/>
          </w:tcPr>
          <w:p w14:paraId="2BC87052" w14:textId="77777777" w:rsidR="00A34650" w:rsidRDefault="00A34650"/>
        </w:tc>
        <w:tc>
          <w:tcPr>
            <w:tcW w:w="2145" w:type="dxa"/>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4389BE46" w14:textId="77777777" w:rsidR="00A34650" w:rsidRDefault="00000000">
            <w:pPr>
              <w:pStyle w:val="Body"/>
              <w:spacing w:line="480" w:lineRule="auto"/>
            </w:pPr>
            <w:r>
              <w:rPr>
                <w:rStyle w:val="None"/>
                <w:b/>
                <w:bCs/>
                <w:sz w:val="22"/>
                <w:szCs w:val="22"/>
                <w:lang w:val="en-US"/>
              </w:rPr>
              <w:t>Ablation</w:t>
            </w:r>
          </w:p>
        </w:tc>
        <w:tc>
          <w:tcPr>
            <w:tcW w:w="1350" w:type="dxa"/>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16555E05" w14:textId="77777777" w:rsidR="00A34650" w:rsidRDefault="00000000">
            <w:pPr>
              <w:pStyle w:val="Body"/>
              <w:spacing w:line="480" w:lineRule="auto"/>
            </w:pPr>
            <w:r>
              <w:rPr>
                <w:rStyle w:val="None"/>
                <w:b/>
                <w:bCs/>
                <w:sz w:val="22"/>
                <w:szCs w:val="22"/>
                <w:lang w:val="en-US"/>
              </w:rPr>
              <w:t>No ablation</w:t>
            </w:r>
          </w:p>
        </w:tc>
        <w:tc>
          <w:tcPr>
            <w:tcW w:w="1770" w:type="dxa"/>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6404B071" w14:textId="77777777" w:rsidR="00A34650" w:rsidRDefault="00000000">
            <w:pPr>
              <w:pStyle w:val="Body"/>
              <w:spacing w:line="480" w:lineRule="auto"/>
            </w:pPr>
            <w:r>
              <w:rPr>
                <w:rStyle w:val="None"/>
                <w:b/>
                <w:bCs/>
                <w:sz w:val="22"/>
                <w:szCs w:val="22"/>
                <w:lang w:val="en-US"/>
              </w:rPr>
              <w:t>Ablation</w:t>
            </w:r>
          </w:p>
        </w:tc>
        <w:tc>
          <w:tcPr>
            <w:tcW w:w="2010" w:type="dxa"/>
            <w:tcBorders>
              <w:top w:val="single" w:sz="18"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22F1DBF5" w14:textId="77777777" w:rsidR="00A34650" w:rsidRDefault="00000000">
            <w:pPr>
              <w:pStyle w:val="Body"/>
              <w:spacing w:line="480" w:lineRule="auto"/>
            </w:pPr>
            <w:r>
              <w:rPr>
                <w:rStyle w:val="None"/>
                <w:b/>
                <w:bCs/>
                <w:sz w:val="22"/>
                <w:szCs w:val="22"/>
                <w:lang w:val="en-US"/>
              </w:rPr>
              <w:t>No ablation</w:t>
            </w:r>
          </w:p>
        </w:tc>
        <w:tc>
          <w:tcPr>
            <w:tcW w:w="915" w:type="dxa"/>
            <w:vMerge/>
            <w:tcBorders>
              <w:top w:val="single" w:sz="18" w:space="0" w:color="000000"/>
              <w:left w:val="single" w:sz="4" w:space="0" w:color="000000"/>
              <w:bottom w:val="single" w:sz="18" w:space="0" w:color="000000"/>
              <w:right w:val="single" w:sz="4" w:space="0" w:color="000000"/>
            </w:tcBorders>
            <w:shd w:val="clear" w:color="auto" w:fill="E8E8E8"/>
          </w:tcPr>
          <w:p w14:paraId="339017FA" w14:textId="77777777" w:rsidR="00A34650" w:rsidRDefault="00A34650"/>
        </w:tc>
      </w:tr>
      <w:tr w:rsidR="00A34650" w14:paraId="3C77F225" w14:textId="77777777">
        <w:trPr>
          <w:trHeight w:val="864"/>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78C696F2" w14:textId="77777777" w:rsidR="00A34650" w:rsidRDefault="00000000">
            <w:pPr>
              <w:pStyle w:val="Body"/>
              <w:spacing w:line="480" w:lineRule="auto"/>
            </w:pPr>
            <w:r>
              <w:rPr>
                <w:rStyle w:val="None"/>
                <w:sz w:val="22"/>
                <w:szCs w:val="22"/>
                <w:lang w:val="en-US"/>
              </w:rPr>
              <w:lastRenderedPageBreak/>
              <w:t>N(total)</w:t>
            </w:r>
          </w:p>
        </w:tc>
        <w:tc>
          <w:tcPr>
            <w:tcW w:w="2145" w:type="dxa"/>
            <w:tcBorders>
              <w:top w:val="single" w:sz="18"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99B587" w14:textId="77777777" w:rsidR="00A34650" w:rsidRDefault="00000000">
            <w:pPr>
              <w:pStyle w:val="Body"/>
              <w:spacing w:line="480" w:lineRule="auto"/>
            </w:pPr>
            <w:r>
              <w:rPr>
                <w:rStyle w:val="None"/>
                <w:sz w:val="22"/>
                <w:szCs w:val="22"/>
                <w:lang w:val="en-US"/>
              </w:rPr>
              <w:t>32,640 (1.5%)</w:t>
            </w:r>
          </w:p>
        </w:tc>
        <w:tc>
          <w:tcPr>
            <w:tcW w:w="1350" w:type="dxa"/>
            <w:tcBorders>
              <w:top w:val="single" w:sz="18"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D5E060" w14:textId="77777777" w:rsidR="00A34650" w:rsidRDefault="00000000">
            <w:pPr>
              <w:pStyle w:val="Body"/>
              <w:spacing w:line="480" w:lineRule="auto"/>
            </w:pPr>
            <w:r>
              <w:rPr>
                <w:rStyle w:val="None"/>
                <w:sz w:val="22"/>
                <w:szCs w:val="22"/>
                <w:lang w:val="en-US"/>
              </w:rPr>
              <w:t>2,181,784 (98.5%)</w:t>
            </w:r>
          </w:p>
        </w:tc>
        <w:tc>
          <w:tcPr>
            <w:tcW w:w="1770" w:type="dxa"/>
            <w:tcBorders>
              <w:top w:val="single" w:sz="18"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0D7EBE" w14:textId="77777777" w:rsidR="00A34650" w:rsidRDefault="00000000">
            <w:pPr>
              <w:pStyle w:val="Body"/>
              <w:spacing w:line="480" w:lineRule="auto"/>
            </w:pPr>
            <w:r>
              <w:rPr>
                <w:rStyle w:val="None"/>
                <w:sz w:val="22"/>
                <w:szCs w:val="22"/>
                <w:lang w:val="en-US"/>
              </w:rPr>
              <w:t>6,334 (50.0%)</w:t>
            </w:r>
          </w:p>
        </w:tc>
        <w:tc>
          <w:tcPr>
            <w:tcW w:w="2010" w:type="dxa"/>
            <w:tcBorders>
              <w:top w:val="single" w:sz="18"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C41DE1" w14:textId="77777777" w:rsidR="00A34650" w:rsidRDefault="00000000">
            <w:pPr>
              <w:pStyle w:val="Body"/>
              <w:spacing w:line="480" w:lineRule="auto"/>
            </w:pPr>
            <w:r>
              <w:rPr>
                <w:rStyle w:val="None"/>
                <w:sz w:val="22"/>
                <w:szCs w:val="22"/>
                <w:lang w:val="en-US"/>
              </w:rPr>
              <w:t>6,334 (50.0%)</w:t>
            </w:r>
          </w:p>
        </w:tc>
        <w:tc>
          <w:tcPr>
            <w:tcW w:w="915" w:type="dxa"/>
            <w:tcBorders>
              <w:top w:val="single" w:sz="18"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BB3F4B" w14:textId="77777777" w:rsidR="00A34650" w:rsidRDefault="00000000">
            <w:pPr>
              <w:pStyle w:val="Body"/>
              <w:spacing w:line="480" w:lineRule="auto"/>
            </w:pPr>
            <w:r>
              <w:rPr>
                <w:rStyle w:val="None"/>
                <w:sz w:val="22"/>
                <w:szCs w:val="22"/>
                <w:lang w:val="en-US"/>
              </w:rPr>
              <w:t> </w:t>
            </w:r>
          </w:p>
        </w:tc>
      </w:tr>
      <w:tr w:rsidR="00A34650" w14:paraId="5276E15C"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60913D5F" w14:textId="77777777" w:rsidR="00A34650" w:rsidRDefault="00000000">
            <w:pPr>
              <w:pStyle w:val="Body"/>
              <w:spacing w:line="480" w:lineRule="auto"/>
            </w:pPr>
            <w:r>
              <w:rPr>
                <w:rStyle w:val="None"/>
                <w:sz w:val="22"/>
                <w:szCs w:val="22"/>
                <w:lang w:val="en-US"/>
              </w:rPr>
              <w:t>In hospital mortality</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EC4DBD" w14:textId="77777777" w:rsidR="00A34650" w:rsidRDefault="00000000">
            <w:pPr>
              <w:pStyle w:val="Body"/>
              <w:spacing w:line="480" w:lineRule="auto"/>
            </w:pPr>
            <w:r>
              <w:rPr>
                <w:rStyle w:val="None"/>
                <w:sz w:val="22"/>
                <w:szCs w:val="22"/>
                <w:lang w:val="en-US"/>
              </w:rPr>
              <w:t>1,055 (3.2%)</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6F188A" w14:textId="77777777" w:rsidR="00A34650" w:rsidRDefault="00000000">
            <w:pPr>
              <w:pStyle w:val="Body"/>
              <w:spacing w:line="480" w:lineRule="auto"/>
            </w:pPr>
            <w:r>
              <w:rPr>
                <w:rStyle w:val="None"/>
                <w:sz w:val="22"/>
                <w:szCs w:val="22"/>
                <w:lang w:val="en-US"/>
              </w:rPr>
              <w:t>277,490 (12.7%)</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0D278B" w14:textId="77777777" w:rsidR="00A34650" w:rsidRDefault="00000000">
            <w:pPr>
              <w:pStyle w:val="Body"/>
              <w:spacing w:line="480" w:lineRule="auto"/>
            </w:pPr>
            <w:r>
              <w:rPr>
                <w:rStyle w:val="None"/>
                <w:sz w:val="22"/>
                <w:szCs w:val="22"/>
                <w:lang w:val="en-US"/>
              </w:rPr>
              <w:t>201 (3.17%)</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B2EF4B" w14:textId="77777777" w:rsidR="00A34650" w:rsidRDefault="00000000">
            <w:pPr>
              <w:pStyle w:val="Body"/>
              <w:spacing w:line="480" w:lineRule="auto"/>
            </w:pPr>
            <w:r>
              <w:rPr>
                <w:rStyle w:val="None"/>
                <w:sz w:val="22"/>
                <w:szCs w:val="22"/>
                <w:lang w:val="en-US"/>
              </w:rPr>
              <w:t>569 (8.98%)</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92C406" w14:textId="77777777" w:rsidR="00A34650" w:rsidRDefault="00000000">
            <w:pPr>
              <w:pStyle w:val="Body"/>
              <w:spacing w:line="480" w:lineRule="auto"/>
            </w:pPr>
            <w:r>
              <w:rPr>
                <w:rStyle w:val="None"/>
                <w:sz w:val="22"/>
                <w:szCs w:val="22"/>
                <w:lang w:val="en-US"/>
              </w:rPr>
              <w:t>&lt;0.001</w:t>
            </w:r>
          </w:p>
        </w:tc>
      </w:tr>
      <w:tr w:rsidR="00A34650" w14:paraId="20408AF7"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35B075B1" w14:textId="77777777" w:rsidR="00A34650" w:rsidRDefault="00000000">
            <w:pPr>
              <w:pStyle w:val="Body"/>
              <w:spacing w:line="480" w:lineRule="auto"/>
            </w:pPr>
            <w:r>
              <w:rPr>
                <w:rStyle w:val="None"/>
                <w:sz w:val="22"/>
                <w:szCs w:val="22"/>
                <w:lang w:val="en-US"/>
              </w:rPr>
              <w:t>ST Elevated MI</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9FD706" w14:textId="77777777" w:rsidR="00A34650" w:rsidRDefault="00000000">
            <w:pPr>
              <w:pStyle w:val="Body"/>
              <w:spacing w:line="480" w:lineRule="auto"/>
            </w:pPr>
            <w:r>
              <w:rPr>
                <w:rStyle w:val="None"/>
                <w:sz w:val="22"/>
                <w:szCs w:val="22"/>
                <w:lang w:val="en-US"/>
              </w:rPr>
              <w:t>2,230 (6.8%)</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08E536" w14:textId="77777777" w:rsidR="00A34650" w:rsidRDefault="00000000">
            <w:pPr>
              <w:pStyle w:val="Body"/>
              <w:spacing w:line="480" w:lineRule="auto"/>
            </w:pPr>
            <w:r>
              <w:rPr>
                <w:rStyle w:val="None"/>
                <w:sz w:val="22"/>
                <w:szCs w:val="22"/>
                <w:lang w:val="en-US"/>
              </w:rPr>
              <w:t>371,420 (17.0%)</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4E0EE6" w14:textId="77777777" w:rsidR="00A34650" w:rsidRDefault="00000000">
            <w:pPr>
              <w:pStyle w:val="Body"/>
              <w:spacing w:line="480" w:lineRule="auto"/>
            </w:pPr>
            <w:r>
              <w:rPr>
                <w:rStyle w:val="None"/>
                <w:sz w:val="22"/>
                <w:szCs w:val="22"/>
                <w:lang w:val="en-US"/>
              </w:rPr>
              <w:t>432 (6.82%)</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9E75EE" w14:textId="77777777" w:rsidR="00A34650" w:rsidRDefault="00000000">
            <w:pPr>
              <w:pStyle w:val="Body"/>
              <w:spacing w:line="480" w:lineRule="auto"/>
            </w:pPr>
            <w:r>
              <w:rPr>
                <w:rStyle w:val="None"/>
                <w:sz w:val="22"/>
                <w:szCs w:val="22"/>
                <w:lang w:val="en-US"/>
              </w:rPr>
              <w:t>1,193 (18.83%)</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1F0646" w14:textId="77777777" w:rsidR="00A34650" w:rsidRDefault="00000000">
            <w:pPr>
              <w:pStyle w:val="Body"/>
              <w:spacing w:line="480" w:lineRule="auto"/>
            </w:pPr>
            <w:r>
              <w:rPr>
                <w:rStyle w:val="None"/>
                <w:sz w:val="22"/>
                <w:szCs w:val="22"/>
                <w:lang w:val="en-US"/>
              </w:rPr>
              <w:t>&lt;0.001</w:t>
            </w:r>
          </w:p>
        </w:tc>
      </w:tr>
      <w:tr w:rsidR="00A34650" w14:paraId="5B977D60"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671FEFFB" w14:textId="77777777" w:rsidR="00A34650" w:rsidRDefault="00000000">
            <w:pPr>
              <w:pStyle w:val="Body"/>
              <w:spacing w:line="480" w:lineRule="auto"/>
            </w:pPr>
            <w:r>
              <w:rPr>
                <w:rStyle w:val="None"/>
                <w:sz w:val="22"/>
                <w:szCs w:val="22"/>
                <w:lang w:val="en-US"/>
              </w:rPr>
              <w:t>Acute Heart Failure</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46709C" w14:textId="77777777" w:rsidR="00A34650" w:rsidRDefault="00000000">
            <w:pPr>
              <w:pStyle w:val="Body"/>
              <w:spacing w:line="480" w:lineRule="auto"/>
            </w:pPr>
            <w:r>
              <w:rPr>
                <w:rStyle w:val="None"/>
                <w:sz w:val="22"/>
                <w:szCs w:val="22"/>
                <w:lang w:val="en-US"/>
              </w:rPr>
              <w:t>9,165 (28.1%)</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5AF73F" w14:textId="77777777" w:rsidR="00A34650" w:rsidRDefault="00000000">
            <w:pPr>
              <w:pStyle w:val="Body"/>
              <w:spacing w:line="480" w:lineRule="auto"/>
            </w:pPr>
            <w:r>
              <w:rPr>
                <w:rStyle w:val="None"/>
                <w:sz w:val="22"/>
                <w:szCs w:val="22"/>
                <w:lang w:val="en-US"/>
              </w:rPr>
              <w:t>536,155 (24.6%)</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CC1F47" w14:textId="77777777" w:rsidR="00A34650" w:rsidRDefault="00000000">
            <w:pPr>
              <w:pStyle w:val="Body"/>
              <w:spacing w:line="480" w:lineRule="auto"/>
            </w:pPr>
            <w:r>
              <w:rPr>
                <w:rStyle w:val="None"/>
                <w:sz w:val="22"/>
                <w:szCs w:val="22"/>
                <w:lang w:val="en-US"/>
              </w:rPr>
              <w:t>1,781 (28.12%)</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D8B625" w14:textId="77777777" w:rsidR="00A34650" w:rsidRDefault="00000000">
            <w:pPr>
              <w:pStyle w:val="Body"/>
              <w:spacing w:line="480" w:lineRule="auto"/>
            </w:pPr>
            <w:r>
              <w:rPr>
                <w:rStyle w:val="None"/>
                <w:sz w:val="22"/>
                <w:szCs w:val="22"/>
                <w:lang w:val="en-US"/>
              </w:rPr>
              <w:t>1,751 (27.64%)</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D06AA1" w14:textId="77777777" w:rsidR="00A34650" w:rsidRDefault="00000000">
            <w:pPr>
              <w:pStyle w:val="Body"/>
              <w:spacing w:line="480" w:lineRule="auto"/>
            </w:pPr>
            <w:r>
              <w:rPr>
                <w:rStyle w:val="None"/>
                <w:sz w:val="22"/>
                <w:szCs w:val="22"/>
                <w:lang w:val="en-US"/>
              </w:rPr>
              <w:t>0.552</w:t>
            </w:r>
          </w:p>
        </w:tc>
      </w:tr>
      <w:tr w:rsidR="00A34650" w14:paraId="5596C138"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5DB1B260" w14:textId="77777777" w:rsidR="00A34650" w:rsidRDefault="00000000">
            <w:pPr>
              <w:pStyle w:val="Body"/>
              <w:spacing w:line="480" w:lineRule="auto"/>
            </w:pPr>
            <w:r>
              <w:rPr>
                <w:rStyle w:val="None"/>
                <w:sz w:val="22"/>
                <w:szCs w:val="22"/>
                <w:lang w:val="en-US"/>
              </w:rPr>
              <w:t>Cardiogenic Shock</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4F94D" w14:textId="77777777" w:rsidR="00A34650" w:rsidRDefault="00000000">
            <w:pPr>
              <w:pStyle w:val="Body"/>
              <w:spacing w:line="480" w:lineRule="auto"/>
            </w:pPr>
            <w:r>
              <w:rPr>
                <w:rStyle w:val="None"/>
                <w:sz w:val="22"/>
                <w:szCs w:val="22"/>
                <w:lang w:val="en-US"/>
              </w:rPr>
              <w:t>2,960 (9.1%)</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ACAC15" w14:textId="77777777" w:rsidR="00A34650" w:rsidRDefault="00000000">
            <w:pPr>
              <w:pStyle w:val="Body"/>
              <w:spacing w:line="480" w:lineRule="auto"/>
            </w:pPr>
            <w:r>
              <w:rPr>
                <w:rStyle w:val="None"/>
                <w:sz w:val="22"/>
                <w:szCs w:val="22"/>
                <w:lang w:val="en-US"/>
              </w:rPr>
              <w:t>173,540 (8.0%)</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526271" w14:textId="77777777" w:rsidR="00A34650" w:rsidRDefault="00000000">
            <w:pPr>
              <w:pStyle w:val="Body"/>
              <w:spacing w:line="480" w:lineRule="auto"/>
            </w:pPr>
            <w:r>
              <w:rPr>
                <w:rStyle w:val="None"/>
                <w:sz w:val="22"/>
                <w:szCs w:val="22"/>
                <w:lang w:val="en-US"/>
              </w:rPr>
              <w:t>579 (9.14%)</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76776" w14:textId="77777777" w:rsidR="00A34650" w:rsidRDefault="00000000">
            <w:pPr>
              <w:pStyle w:val="Body"/>
              <w:spacing w:line="480" w:lineRule="auto"/>
            </w:pPr>
            <w:r>
              <w:rPr>
                <w:rStyle w:val="None"/>
                <w:sz w:val="22"/>
                <w:szCs w:val="22"/>
                <w:lang w:val="en-US"/>
              </w:rPr>
              <w:t>451 (7.12%)</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68EE9C" w14:textId="77777777" w:rsidR="00A34650" w:rsidRDefault="00000000">
            <w:pPr>
              <w:pStyle w:val="Body"/>
              <w:spacing w:line="480" w:lineRule="auto"/>
            </w:pPr>
            <w:r>
              <w:rPr>
                <w:rStyle w:val="None"/>
                <w:sz w:val="22"/>
                <w:szCs w:val="22"/>
                <w:lang w:val="en-US"/>
              </w:rPr>
              <w:t>&lt;0.001</w:t>
            </w:r>
          </w:p>
        </w:tc>
      </w:tr>
      <w:tr w:rsidR="00A34650" w14:paraId="7516374F"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137F6693" w14:textId="77777777" w:rsidR="00A34650" w:rsidRDefault="00000000">
            <w:pPr>
              <w:pStyle w:val="Body"/>
              <w:spacing w:line="480" w:lineRule="auto"/>
            </w:pPr>
            <w:r>
              <w:rPr>
                <w:rStyle w:val="None"/>
                <w:sz w:val="22"/>
                <w:szCs w:val="22"/>
                <w:lang w:val="en-US"/>
              </w:rPr>
              <w:t>MCS</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8ED817" w14:textId="77777777" w:rsidR="00A34650" w:rsidRDefault="00000000">
            <w:pPr>
              <w:pStyle w:val="Body"/>
              <w:spacing w:line="480" w:lineRule="auto"/>
            </w:pPr>
            <w:r>
              <w:rPr>
                <w:rStyle w:val="None"/>
                <w:sz w:val="22"/>
                <w:szCs w:val="22"/>
                <w:lang w:val="en-US"/>
              </w:rPr>
              <w:t>1,660 (5.1%)</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04B729" w14:textId="77777777" w:rsidR="00A34650" w:rsidRDefault="00000000">
            <w:pPr>
              <w:pStyle w:val="Body"/>
              <w:spacing w:line="480" w:lineRule="auto"/>
            </w:pPr>
            <w:r>
              <w:rPr>
                <w:rStyle w:val="None"/>
                <w:sz w:val="22"/>
                <w:szCs w:val="22"/>
                <w:lang w:val="en-US"/>
              </w:rPr>
              <w:t>76,680 (3.5%)</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35A58" w14:textId="77777777" w:rsidR="00A34650" w:rsidRDefault="00000000">
            <w:pPr>
              <w:pStyle w:val="Body"/>
              <w:spacing w:line="480" w:lineRule="auto"/>
            </w:pPr>
            <w:r>
              <w:rPr>
                <w:rStyle w:val="None"/>
                <w:sz w:val="22"/>
                <w:szCs w:val="22"/>
                <w:lang w:val="en-US"/>
              </w:rPr>
              <w:t>319 (5.04%)</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DD8929" w14:textId="77777777" w:rsidR="00A34650" w:rsidRDefault="00000000">
            <w:pPr>
              <w:pStyle w:val="Body"/>
              <w:spacing w:line="480" w:lineRule="auto"/>
            </w:pPr>
            <w:r>
              <w:rPr>
                <w:rStyle w:val="None"/>
                <w:sz w:val="22"/>
                <w:szCs w:val="22"/>
                <w:lang w:val="en-US"/>
              </w:rPr>
              <w:t>235 (3.71%)</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E39D4B" w14:textId="77777777" w:rsidR="00A34650" w:rsidRDefault="00000000">
            <w:pPr>
              <w:pStyle w:val="Body"/>
              <w:spacing w:line="480" w:lineRule="auto"/>
            </w:pPr>
            <w:r>
              <w:rPr>
                <w:rStyle w:val="None"/>
                <w:sz w:val="22"/>
                <w:szCs w:val="22"/>
                <w:lang w:val="en-US"/>
              </w:rPr>
              <w:t>&lt;0.001</w:t>
            </w:r>
          </w:p>
        </w:tc>
      </w:tr>
      <w:tr w:rsidR="00A34650" w14:paraId="2D592004"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7054D592" w14:textId="77777777" w:rsidR="00A34650" w:rsidRDefault="00000000">
            <w:pPr>
              <w:pStyle w:val="Body"/>
              <w:spacing w:line="480" w:lineRule="auto"/>
            </w:pPr>
            <w:r>
              <w:rPr>
                <w:rStyle w:val="None"/>
                <w:sz w:val="22"/>
                <w:szCs w:val="22"/>
                <w:lang w:val="en-US"/>
              </w:rPr>
              <w:t>MACE (Death/STEMI/CS)</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923642" w14:textId="77777777" w:rsidR="00A34650" w:rsidRDefault="00000000">
            <w:pPr>
              <w:pStyle w:val="Body"/>
              <w:spacing w:line="480" w:lineRule="auto"/>
            </w:pPr>
            <w:r>
              <w:rPr>
                <w:rStyle w:val="None"/>
                <w:sz w:val="22"/>
                <w:szCs w:val="22"/>
                <w:lang w:val="en-US"/>
              </w:rPr>
              <w:t>5,160 (15.8%)</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382AF6" w14:textId="77777777" w:rsidR="00A34650" w:rsidRDefault="00000000">
            <w:pPr>
              <w:pStyle w:val="Body"/>
              <w:spacing w:line="480" w:lineRule="auto"/>
            </w:pPr>
            <w:r>
              <w:rPr>
                <w:rStyle w:val="None"/>
                <w:sz w:val="22"/>
                <w:szCs w:val="22"/>
                <w:lang w:val="en-US"/>
              </w:rPr>
              <w:t>646,830 (29.6%)</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D506EB" w14:textId="77777777" w:rsidR="00A34650" w:rsidRDefault="00000000">
            <w:pPr>
              <w:pStyle w:val="Body"/>
              <w:spacing w:line="480" w:lineRule="auto"/>
            </w:pPr>
            <w:r>
              <w:rPr>
                <w:rStyle w:val="None"/>
                <w:sz w:val="22"/>
                <w:szCs w:val="22"/>
                <w:lang w:val="en-US"/>
              </w:rPr>
              <w:t>1,002 (15.82%)</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774BBA" w14:textId="77777777" w:rsidR="00A34650" w:rsidRDefault="00000000">
            <w:pPr>
              <w:pStyle w:val="Body"/>
              <w:spacing w:line="480" w:lineRule="auto"/>
            </w:pPr>
            <w:r>
              <w:rPr>
                <w:rStyle w:val="None"/>
                <w:sz w:val="22"/>
                <w:szCs w:val="22"/>
                <w:lang w:val="en-US"/>
              </w:rPr>
              <w:t>1,799 (28.40%)</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A0D6B1" w14:textId="77777777" w:rsidR="00A34650" w:rsidRDefault="00000000">
            <w:pPr>
              <w:pStyle w:val="Body"/>
              <w:spacing w:line="480" w:lineRule="auto"/>
            </w:pPr>
            <w:r>
              <w:rPr>
                <w:rStyle w:val="None"/>
                <w:sz w:val="22"/>
                <w:szCs w:val="22"/>
                <w:lang w:val="en-US"/>
              </w:rPr>
              <w:t>&lt;0.001</w:t>
            </w:r>
          </w:p>
        </w:tc>
      </w:tr>
      <w:tr w:rsidR="00A34650" w14:paraId="4C7B7D25" w14:textId="77777777">
        <w:trPr>
          <w:trHeight w:val="27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4F2E04FB" w14:textId="77777777" w:rsidR="00A34650" w:rsidRDefault="00000000">
            <w:pPr>
              <w:pStyle w:val="Body"/>
              <w:spacing w:line="480" w:lineRule="auto"/>
            </w:pPr>
            <w:r>
              <w:rPr>
                <w:rStyle w:val="None"/>
                <w:sz w:val="22"/>
                <w:szCs w:val="22"/>
                <w:lang w:val="en-US"/>
              </w:rPr>
              <w:t>Tamponade</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81EE9F" w14:textId="77777777" w:rsidR="00A34650" w:rsidRDefault="00000000">
            <w:pPr>
              <w:pStyle w:val="Body"/>
              <w:spacing w:line="480" w:lineRule="auto"/>
            </w:pPr>
            <w:r>
              <w:rPr>
                <w:rStyle w:val="None"/>
                <w:sz w:val="22"/>
                <w:szCs w:val="22"/>
                <w:lang w:val="en-US"/>
              </w:rPr>
              <w:t>585 (1.8%)</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AC10A6" w14:textId="77777777" w:rsidR="00A34650" w:rsidRDefault="00000000">
            <w:pPr>
              <w:pStyle w:val="Body"/>
              <w:spacing w:line="480" w:lineRule="auto"/>
            </w:pPr>
            <w:r>
              <w:rPr>
                <w:rStyle w:val="None"/>
                <w:sz w:val="22"/>
                <w:szCs w:val="22"/>
                <w:lang w:val="en-US"/>
              </w:rPr>
              <w:t>7,785 (0.4%)</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075D56" w14:textId="77777777" w:rsidR="00A34650" w:rsidRDefault="00000000">
            <w:pPr>
              <w:pStyle w:val="Body"/>
              <w:spacing w:line="480" w:lineRule="auto"/>
            </w:pPr>
            <w:r>
              <w:rPr>
                <w:rStyle w:val="None"/>
                <w:sz w:val="22"/>
                <w:szCs w:val="22"/>
                <w:lang w:val="en-US"/>
              </w:rPr>
              <w:t>113 (1.78%)</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948C73" w14:textId="77777777" w:rsidR="00A34650" w:rsidRDefault="00000000">
            <w:pPr>
              <w:pStyle w:val="Body"/>
              <w:spacing w:line="480" w:lineRule="auto"/>
            </w:pPr>
            <w:r>
              <w:rPr>
                <w:rStyle w:val="None"/>
                <w:sz w:val="22"/>
                <w:szCs w:val="22"/>
                <w:lang w:val="en-US"/>
              </w:rPr>
              <w:t>27 (0.43%)</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DCFA4F" w14:textId="77777777" w:rsidR="00A34650" w:rsidRDefault="00000000">
            <w:pPr>
              <w:pStyle w:val="Body"/>
              <w:spacing w:line="480" w:lineRule="auto"/>
            </w:pPr>
            <w:r>
              <w:rPr>
                <w:rStyle w:val="None"/>
                <w:sz w:val="22"/>
                <w:szCs w:val="22"/>
                <w:lang w:val="en-US"/>
              </w:rPr>
              <w:t>&lt;0.001</w:t>
            </w:r>
          </w:p>
        </w:tc>
      </w:tr>
      <w:tr w:rsidR="00A34650" w14:paraId="6E3B2006" w14:textId="77777777">
        <w:trPr>
          <w:trHeight w:val="741"/>
        </w:trPr>
        <w:tc>
          <w:tcPr>
            <w:tcW w:w="2100" w:type="dxa"/>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387CC31E" w14:textId="77777777" w:rsidR="00A34650" w:rsidRDefault="00000000">
            <w:pPr>
              <w:pStyle w:val="Body"/>
              <w:spacing w:line="480" w:lineRule="auto"/>
            </w:pPr>
            <w:r>
              <w:rPr>
                <w:rStyle w:val="None"/>
                <w:sz w:val="22"/>
                <w:szCs w:val="22"/>
                <w:lang w:val="en-US"/>
              </w:rPr>
              <w:t>Sepsis</w:t>
            </w:r>
          </w:p>
        </w:tc>
        <w:tc>
          <w:tcPr>
            <w:tcW w:w="21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562519" w14:textId="77777777" w:rsidR="00A34650" w:rsidRDefault="00000000">
            <w:pPr>
              <w:pStyle w:val="Body"/>
              <w:spacing w:line="480" w:lineRule="auto"/>
            </w:pPr>
            <w:r>
              <w:rPr>
                <w:rStyle w:val="None"/>
                <w:sz w:val="22"/>
                <w:szCs w:val="22"/>
                <w:lang w:val="en-US"/>
              </w:rPr>
              <w:t>1,100 (3.4%)</w:t>
            </w:r>
          </w:p>
        </w:tc>
        <w:tc>
          <w:tcPr>
            <w:tcW w:w="1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DA09B2" w14:textId="77777777" w:rsidR="00A34650" w:rsidRDefault="00000000">
            <w:pPr>
              <w:pStyle w:val="Body"/>
              <w:spacing w:line="480" w:lineRule="auto"/>
            </w:pPr>
            <w:r>
              <w:rPr>
                <w:rStyle w:val="None"/>
                <w:sz w:val="22"/>
                <w:szCs w:val="22"/>
                <w:lang w:val="en-US"/>
              </w:rPr>
              <w:t>307,675 (14.1%)</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2D4CB" w14:textId="77777777" w:rsidR="00A34650" w:rsidRDefault="00000000">
            <w:pPr>
              <w:pStyle w:val="Body"/>
              <w:spacing w:line="480" w:lineRule="auto"/>
            </w:pPr>
            <w:r>
              <w:rPr>
                <w:rStyle w:val="None"/>
                <w:sz w:val="22"/>
                <w:szCs w:val="22"/>
                <w:lang w:val="en-US"/>
              </w:rPr>
              <w:t>214 (3.38%)</w:t>
            </w:r>
          </w:p>
        </w:tc>
        <w:tc>
          <w:tcPr>
            <w:tcW w:w="2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9A5593" w14:textId="77777777" w:rsidR="00A34650" w:rsidRDefault="00000000">
            <w:pPr>
              <w:pStyle w:val="Body"/>
              <w:spacing w:line="480" w:lineRule="auto"/>
            </w:pPr>
            <w:r>
              <w:rPr>
                <w:rStyle w:val="None"/>
                <w:sz w:val="22"/>
                <w:szCs w:val="22"/>
                <w:lang w:val="en-US"/>
              </w:rPr>
              <w:t>655 (10.34%)</w:t>
            </w:r>
          </w:p>
        </w:tc>
        <w:tc>
          <w:tcPr>
            <w:tcW w:w="9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D1BC8C" w14:textId="77777777" w:rsidR="00A34650" w:rsidRDefault="00000000">
            <w:pPr>
              <w:pStyle w:val="Body"/>
              <w:spacing w:line="480" w:lineRule="auto"/>
            </w:pPr>
            <w:r>
              <w:rPr>
                <w:rStyle w:val="None"/>
                <w:sz w:val="22"/>
                <w:szCs w:val="22"/>
                <w:lang w:val="en-US"/>
              </w:rPr>
              <w:t>&lt;0.001</w:t>
            </w:r>
          </w:p>
        </w:tc>
      </w:tr>
      <w:tr w:rsidR="00A34650" w14:paraId="53DB1F0E" w14:textId="77777777">
        <w:trPr>
          <w:trHeight w:val="759"/>
        </w:trPr>
        <w:tc>
          <w:tcPr>
            <w:tcW w:w="2100" w:type="dxa"/>
            <w:tcBorders>
              <w:top w:val="single" w:sz="4" w:space="0" w:color="000000"/>
              <w:left w:val="single" w:sz="4" w:space="0" w:color="000000"/>
              <w:bottom w:val="single" w:sz="18" w:space="0" w:color="000000"/>
              <w:right w:val="single" w:sz="4" w:space="0" w:color="000000"/>
            </w:tcBorders>
            <w:shd w:val="clear" w:color="auto" w:fill="E8E8E8"/>
            <w:tcMar>
              <w:top w:w="80" w:type="dxa"/>
              <w:left w:w="80" w:type="dxa"/>
              <w:bottom w:w="80" w:type="dxa"/>
              <w:right w:w="80" w:type="dxa"/>
            </w:tcMar>
          </w:tcPr>
          <w:p w14:paraId="6D4865DC" w14:textId="77777777" w:rsidR="00A34650" w:rsidRDefault="00000000">
            <w:pPr>
              <w:pStyle w:val="Body"/>
              <w:spacing w:line="480" w:lineRule="auto"/>
            </w:pPr>
            <w:r>
              <w:rPr>
                <w:rStyle w:val="None"/>
                <w:rFonts w:ascii="Gungsuh" w:eastAsia="Gungsuh" w:hAnsi="Gungsuh" w:cs="Gungsuh"/>
                <w:sz w:val="22"/>
                <w:szCs w:val="22"/>
                <w:lang w:val="en-US"/>
              </w:rPr>
              <w:t>LOS ≥7 days</w:t>
            </w:r>
          </w:p>
        </w:tc>
        <w:tc>
          <w:tcPr>
            <w:tcW w:w="2145" w:type="dxa"/>
            <w:tcBorders>
              <w:top w:val="single" w:sz="4" w:space="0" w:color="000000"/>
              <w:left w:val="single" w:sz="4" w:space="0" w:color="000000"/>
              <w:bottom w:val="single" w:sz="18" w:space="0" w:color="000000"/>
              <w:right w:val="single" w:sz="4" w:space="0" w:color="000000"/>
            </w:tcBorders>
            <w:tcMar>
              <w:top w:w="80" w:type="dxa"/>
              <w:left w:w="80" w:type="dxa"/>
              <w:bottom w:w="80" w:type="dxa"/>
              <w:right w:w="80" w:type="dxa"/>
            </w:tcMar>
          </w:tcPr>
          <w:p w14:paraId="0D78A77B" w14:textId="77777777" w:rsidR="00A34650" w:rsidRDefault="00000000">
            <w:pPr>
              <w:pStyle w:val="Body"/>
              <w:spacing w:line="480" w:lineRule="auto"/>
            </w:pPr>
            <w:r>
              <w:rPr>
                <w:rStyle w:val="None"/>
                <w:sz w:val="22"/>
                <w:szCs w:val="22"/>
                <w:lang w:val="en-US"/>
              </w:rPr>
              <w:t>13,365 (40.9%)</w:t>
            </w:r>
          </w:p>
        </w:tc>
        <w:tc>
          <w:tcPr>
            <w:tcW w:w="1350" w:type="dxa"/>
            <w:tcBorders>
              <w:top w:val="single" w:sz="4" w:space="0" w:color="000000"/>
              <w:left w:val="single" w:sz="4" w:space="0" w:color="000000"/>
              <w:bottom w:val="single" w:sz="18" w:space="0" w:color="000000"/>
              <w:right w:val="single" w:sz="4" w:space="0" w:color="000000"/>
            </w:tcBorders>
            <w:tcMar>
              <w:top w:w="80" w:type="dxa"/>
              <w:left w:w="80" w:type="dxa"/>
              <w:bottom w:w="80" w:type="dxa"/>
              <w:right w:w="80" w:type="dxa"/>
            </w:tcMar>
          </w:tcPr>
          <w:p w14:paraId="68BDC537" w14:textId="77777777" w:rsidR="00A34650" w:rsidRDefault="00000000">
            <w:pPr>
              <w:pStyle w:val="Body"/>
              <w:spacing w:line="480" w:lineRule="auto"/>
            </w:pPr>
            <w:r>
              <w:rPr>
                <w:rStyle w:val="None"/>
                <w:sz w:val="22"/>
                <w:szCs w:val="22"/>
                <w:lang w:val="en-US"/>
              </w:rPr>
              <w:t>970,480 (44.5%)</w:t>
            </w:r>
          </w:p>
        </w:tc>
        <w:tc>
          <w:tcPr>
            <w:tcW w:w="1770" w:type="dxa"/>
            <w:tcBorders>
              <w:top w:val="single" w:sz="4" w:space="0" w:color="000000"/>
              <w:left w:val="single" w:sz="4" w:space="0" w:color="000000"/>
              <w:bottom w:val="single" w:sz="18" w:space="0" w:color="000000"/>
              <w:right w:val="single" w:sz="4" w:space="0" w:color="000000"/>
            </w:tcBorders>
            <w:tcMar>
              <w:top w:w="80" w:type="dxa"/>
              <w:left w:w="80" w:type="dxa"/>
              <w:bottom w:w="80" w:type="dxa"/>
              <w:right w:w="80" w:type="dxa"/>
            </w:tcMar>
          </w:tcPr>
          <w:p w14:paraId="5343BD46" w14:textId="77777777" w:rsidR="00A34650" w:rsidRDefault="00000000">
            <w:pPr>
              <w:pStyle w:val="Body"/>
              <w:spacing w:line="480" w:lineRule="auto"/>
            </w:pPr>
            <w:r>
              <w:rPr>
                <w:rStyle w:val="None"/>
                <w:sz w:val="22"/>
                <w:szCs w:val="22"/>
                <w:lang w:val="en-US"/>
              </w:rPr>
              <w:t>2,593 (40.94%)</w:t>
            </w:r>
          </w:p>
        </w:tc>
        <w:tc>
          <w:tcPr>
            <w:tcW w:w="2010" w:type="dxa"/>
            <w:tcBorders>
              <w:top w:val="single" w:sz="4" w:space="0" w:color="000000"/>
              <w:left w:val="single" w:sz="4" w:space="0" w:color="000000"/>
              <w:bottom w:val="single" w:sz="18" w:space="0" w:color="000000"/>
              <w:right w:val="single" w:sz="4" w:space="0" w:color="000000"/>
            </w:tcBorders>
            <w:tcMar>
              <w:top w:w="80" w:type="dxa"/>
              <w:left w:w="80" w:type="dxa"/>
              <w:bottom w:w="80" w:type="dxa"/>
              <w:right w:w="80" w:type="dxa"/>
            </w:tcMar>
          </w:tcPr>
          <w:p w14:paraId="68C10EA7" w14:textId="77777777" w:rsidR="00A34650" w:rsidRDefault="00000000">
            <w:pPr>
              <w:pStyle w:val="Body"/>
              <w:spacing w:line="480" w:lineRule="auto"/>
            </w:pPr>
            <w:r>
              <w:rPr>
                <w:rStyle w:val="None"/>
                <w:sz w:val="22"/>
                <w:szCs w:val="22"/>
                <w:lang w:val="en-US"/>
              </w:rPr>
              <w:t>2,575 (40.65%)</w:t>
            </w:r>
          </w:p>
        </w:tc>
        <w:tc>
          <w:tcPr>
            <w:tcW w:w="915" w:type="dxa"/>
            <w:tcBorders>
              <w:top w:val="single" w:sz="4" w:space="0" w:color="000000"/>
              <w:left w:val="single" w:sz="4" w:space="0" w:color="000000"/>
              <w:bottom w:val="single" w:sz="18" w:space="0" w:color="000000"/>
              <w:right w:val="single" w:sz="4" w:space="0" w:color="000000"/>
            </w:tcBorders>
            <w:tcMar>
              <w:top w:w="80" w:type="dxa"/>
              <w:left w:w="80" w:type="dxa"/>
              <w:bottom w:w="80" w:type="dxa"/>
              <w:right w:w="80" w:type="dxa"/>
            </w:tcMar>
          </w:tcPr>
          <w:p w14:paraId="515C0FE8" w14:textId="77777777" w:rsidR="00A34650" w:rsidRDefault="00000000">
            <w:pPr>
              <w:pStyle w:val="Body"/>
              <w:spacing w:line="480" w:lineRule="auto"/>
            </w:pPr>
            <w:r>
              <w:rPr>
                <w:rStyle w:val="None"/>
                <w:sz w:val="22"/>
                <w:szCs w:val="22"/>
                <w:lang w:val="en-US"/>
              </w:rPr>
              <w:t>0.745</w:t>
            </w:r>
          </w:p>
        </w:tc>
      </w:tr>
    </w:tbl>
    <w:p w14:paraId="18434BE2" w14:textId="77777777" w:rsidR="00A34650" w:rsidRDefault="00A34650">
      <w:pPr>
        <w:pStyle w:val="Body"/>
        <w:widowControl w:val="0"/>
        <w:ind w:left="324" w:hanging="324"/>
        <w:rPr>
          <w:rStyle w:val="Hyperlink1"/>
        </w:rPr>
      </w:pPr>
    </w:p>
    <w:p w14:paraId="68C2D0E0" w14:textId="77777777" w:rsidR="00A34650" w:rsidRDefault="00A34650">
      <w:pPr>
        <w:pStyle w:val="Body"/>
        <w:widowControl w:val="0"/>
        <w:ind w:left="216" w:hanging="216"/>
        <w:rPr>
          <w:sz w:val="22"/>
          <w:szCs w:val="22"/>
        </w:rPr>
      </w:pPr>
    </w:p>
    <w:p w14:paraId="14D40EEC" w14:textId="77777777" w:rsidR="00A34650" w:rsidRDefault="00A34650">
      <w:pPr>
        <w:pStyle w:val="Body"/>
        <w:widowControl w:val="0"/>
        <w:ind w:left="108" w:hanging="108"/>
        <w:rPr>
          <w:sz w:val="22"/>
          <w:szCs w:val="22"/>
        </w:rPr>
      </w:pPr>
    </w:p>
    <w:p w14:paraId="264D3CA4" w14:textId="77777777" w:rsidR="00A34650" w:rsidRDefault="00A34650">
      <w:pPr>
        <w:pStyle w:val="Body"/>
        <w:widowControl w:val="0"/>
        <w:rPr>
          <w:sz w:val="22"/>
          <w:szCs w:val="22"/>
        </w:rPr>
      </w:pPr>
    </w:p>
    <w:p w14:paraId="7C1C2F4C" w14:textId="77777777" w:rsidR="00A34650" w:rsidRDefault="00A34650">
      <w:pPr>
        <w:pStyle w:val="Body"/>
        <w:widowControl w:val="0"/>
        <w:spacing w:after="200" w:line="276" w:lineRule="auto"/>
        <w:rPr>
          <w:sz w:val="22"/>
          <w:szCs w:val="22"/>
        </w:rPr>
      </w:pPr>
    </w:p>
    <w:p w14:paraId="604F8100" w14:textId="77777777" w:rsidR="00A34650" w:rsidRDefault="00000000">
      <w:pPr>
        <w:pStyle w:val="Body"/>
      </w:pPr>
      <w:r>
        <w:lastRenderedPageBreak/>
        <w:t> ¹</w:t>
      </w:r>
      <w:r>
        <w:rPr>
          <w:lang w:val="en-US"/>
        </w:rPr>
        <w:t>Outcome Sheet before and after Propensity Score Matching.</w:t>
      </w:r>
    </w:p>
    <w:p w14:paraId="6514C9B8" w14:textId="77777777" w:rsidR="00A34650" w:rsidRDefault="00A34650">
      <w:pPr>
        <w:pStyle w:val="Body"/>
        <w:widowControl w:val="0"/>
        <w:spacing w:line="276" w:lineRule="auto"/>
      </w:pPr>
    </w:p>
    <w:sectPr w:rsidR="00A34650">
      <w:headerReference w:type="default" r:id="rId100"/>
      <w:footerReference w:type="default" r:id="rId10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7A57" w14:textId="77777777" w:rsidR="008A4AA6" w:rsidRDefault="008A4AA6">
      <w:r>
        <w:separator/>
      </w:r>
    </w:p>
  </w:endnote>
  <w:endnote w:type="continuationSeparator" w:id="0">
    <w:p w14:paraId="7D1F25F5" w14:textId="77777777" w:rsidR="008A4AA6" w:rsidRDefault="008A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B902" w14:textId="77777777" w:rsidR="00A34650" w:rsidRDefault="00A3465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5F219" w14:textId="77777777" w:rsidR="008A4AA6" w:rsidRDefault="008A4AA6">
      <w:r>
        <w:separator/>
      </w:r>
    </w:p>
  </w:footnote>
  <w:footnote w:type="continuationSeparator" w:id="0">
    <w:p w14:paraId="53E2F225" w14:textId="77777777" w:rsidR="008A4AA6" w:rsidRDefault="008A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A4E" w14:textId="77777777" w:rsidR="00A34650" w:rsidRDefault="00A34650">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50"/>
    <w:rsid w:val="00015ABA"/>
    <w:rsid w:val="008A4AA6"/>
    <w:rsid w:val="00A34650"/>
    <w:rsid w:val="00AA6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D1C9"/>
  <w15:docId w15:val="{DB5E4BF1-E593-48BA-9061-1809E9770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sz w:val="24"/>
      <w:szCs w:val="24"/>
      <w:u w:color="000000"/>
      <w:lang w:val="de-DE"/>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rPr>
      <w:outline w:val="0"/>
      <w:color w:val="1155CC"/>
      <w:sz w:val="22"/>
      <w:szCs w:val="22"/>
      <w:u w:val="single" w:color="1155CC"/>
    </w:rPr>
  </w:style>
  <w:style w:type="character" w:customStyle="1" w:styleId="Hyperlink1">
    <w:name w:val="Hyperlink.1"/>
    <w:basedOn w:val="Non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sciwheel.com/work/citation?ids=18119687,5174811,18119689&amp;pre=&amp;pre=&amp;pre=&amp;suf=&amp;suf=&amp;suf=&amp;sa=0,0,0" TargetMode="External"/><Relationship Id="rId21" Type="http://schemas.openxmlformats.org/officeDocument/2006/relationships/hyperlink" Target="https://sciwheel.com/work/citation?ids=6773727&amp;pre=&amp;suf=&amp;sa=0" TargetMode="External"/><Relationship Id="rId42" Type="http://schemas.openxmlformats.org/officeDocument/2006/relationships/hyperlink" Target="https://sciwheel.com/work/citation?ids=18120020,14258943,15355343&amp;pre=&amp;pre=&amp;pre=&amp;suf=&amp;suf=&amp;suf=&amp;sa=0,0,0" TargetMode="External"/><Relationship Id="rId47" Type="http://schemas.openxmlformats.org/officeDocument/2006/relationships/hyperlink" Target="https://sciwheel.com/work/citation?ids=18120031&amp;pre=&amp;suf=&amp;sa=0" TargetMode="External"/><Relationship Id="rId63" Type="http://schemas.openxmlformats.org/officeDocument/2006/relationships/hyperlink" Target="https://sciwheel.com/work/bibliography/18032418" TargetMode="External"/><Relationship Id="rId68" Type="http://schemas.openxmlformats.org/officeDocument/2006/relationships/hyperlink" Target="https://sciwheel.com/work/bibliography/18119672" TargetMode="External"/><Relationship Id="rId84" Type="http://schemas.openxmlformats.org/officeDocument/2006/relationships/hyperlink" Target="https://sciwheel.com/work/bibliography/7172707" TargetMode="External"/><Relationship Id="rId89" Type="http://schemas.openxmlformats.org/officeDocument/2006/relationships/hyperlink" Target="https://sciwheel.com/work/bibliography/14258943" TargetMode="External"/><Relationship Id="rId7" Type="http://schemas.openxmlformats.org/officeDocument/2006/relationships/hyperlink" Target="https://sciwheel.com/work/citation?ids=1864110,2119686&amp;pre=&amp;pre=&amp;suf=&amp;suf=&amp;sa=0,0" TargetMode="External"/><Relationship Id="rId71" Type="http://schemas.openxmlformats.org/officeDocument/2006/relationships/hyperlink" Target="https://sciwheel.com/work/bibliography/18119687" TargetMode="External"/><Relationship Id="rId92" Type="http://schemas.openxmlformats.org/officeDocument/2006/relationships/hyperlink" Target="https://sciwheel.com/work/bibliography/18120023" TargetMode="External"/><Relationship Id="rId2" Type="http://schemas.openxmlformats.org/officeDocument/2006/relationships/settings" Target="settings.xml"/><Relationship Id="rId16" Type="http://schemas.openxmlformats.org/officeDocument/2006/relationships/hyperlink" Target="https://sciwheel.com/work/citation?ids=9437838&amp;pre=&amp;suf=&amp;sa=0" TargetMode="External"/><Relationship Id="rId29" Type="http://schemas.openxmlformats.org/officeDocument/2006/relationships/hyperlink" Target="https://sciwheel.com/work/citation?ids=9500503&amp;pre=&amp;suf=&amp;sa=0" TargetMode="External"/><Relationship Id="rId11" Type="http://schemas.openxmlformats.org/officeDocument/2006/relationships/hyperlink" Target="https://sciwheel.com/work/citation?ids=18119667&amp;pre=&amp;suf=&amp;sa=0" TargetMode="External"/><Relationship Id="rId24" Type="http://schemas.openxmlformats.org/officeDocument/2006/relationships/hyperlink" Target="https://sciwheel.com/work/citation?ids=18119684&amp;pre=&amp;suf=&amp;sa=0" TargetMode="External"/><Relationship Id="rId32" Type="http://schemas.openxmlformats.org/officeDocument/2006/relationships/hyperlink" Target="https://sciwheel.com/work/citation?ids=18120009&amp;pre=&amp;suf=&amp;sa=0" TargetMode="External"/><Relationship Id="rId37" Type="http://schemas.openxmlformats.org/officeDocument/2006/relationships/hyperlink" Target="https://sciwheel.com/work/citation?ids=7206529,18120016&amp;pre=&amp;pre=&amp;suf=&amp;suf=&amp;sa=0,0" TargetMode="External"/><Relationship Id="rId40" Type="http://schemas.openxmlformats.org/officeDocument/2006/relationships/hyperlink" Target="https://sciwheel.com/work/citation?ids=15745476,18120020&amp;pre=&amp;pre=&amp;suf=&amp;suf=&amp;sa=0,0" TargetMode="External"/><Relationship Id="rId45" Type="http://schemas.openxmlformats.org/officeDocument/2006/relationships/hyperlink" Target="https://sciwheel.com/work/citation?ids=11988050&amp;pre=&amp;suf=&amp;sa=0" TargetMode="External"/><Relationship Id="rId53" Type="http://schemas.openxmlformats.org/officeDocument/2006/relationships/hyperlink" Target="https://sciwheel.com/work/bibliography/1864110" TargetMode="External"/><Relationship Id="rId58" Type="http://schemas.openxmlformats.org/officeDocument/2006/relationships/hyperlink" Target="https://sciwheel.com/work/bibliography/18119656" TargetMode="External"/><Relationship Id="rId66" Type="http://schemas.openxmlformats.org/officeDocument/2006/relationships/hyperlink" Target="https://sciwheel.com/work/bibliography/18030341" TargetMode="External"/><Relationship Id="rId74" Type="http://schemas.openxmlformats.org/officeDocument/2006/relationships/hyperlink" Target="https://sciwheel.com/work/bibliography/9514191" TargetMode="External"/><Relationship Id="rId79" Type="http://schemas.openxmlformats.org/officeDocument/2006/relationships/hyperlink" Target="https://sciwheel.com/work/bibliography/1641374" TargetMode="External"/><Relationship Id="rId87" Type="http://schemas.openxmlformats.org/officeDocument/2006/relationships/hyperlink" Target="https://sciwheel.com/work/bibliography/15745476" TargetMode="External"/><Relationship Id="rId102"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https://sciwheel.com/work/bibliography/18119670" TargetMode="External"/><Relationship Id="rId82" Type="http://schemas.openxmlformats.org/officeDocument/2006/relationships/hyperlink" Target="https://sciwheel.com/work/bibliography/7206529" TargetMode="External"/><Relationship Id="rId90" Type="http://schemas.openxmlformats.org/officeDocument/2006/relationships/hyperlink" Target="https://sciwheel.com/work/bibliography/18120022" TargetMode="External"/><Relationship Id="rId95" Type="http://schemas.openxmlformats.org/officeDocument/2006/relationships/hyperlink" Target="https://sciwheel.com/work/bibliography/11988050" TargetMode="External"/><Relationship Id="rId19" Type="http://schemas.openxmlformats.org/officeDocument/2006/relationships/hyperlink" Target="https://sciwheel.com/work/citation?ids=18030341&amp;pre=&amp;suf=&amp;sa=0" TargetMode="External"/><Relationship Id="rId14" Type="http://schemas.openxmlformats.org/officeDocument/2006/relationships/hyperlink" Target="https://sciwheel.com/work/citation?ids=18032418&amp;pre=&amp;suf=&amp;sa=0" TargetMode="External"/><Relationship Id="rId22" Type="http://schemas.openxmlformats.org/officeDocument/2006/relationships/hyperlink" Target="https://sciwheel.com/work/citation?ids=18119672&amp;pre=&amp;suf=&amp;sa=0" TargetMode="External"/><Relationship Id="rId27" Type="http://schemas.openxmlformats.org/officeDocument/2006/relationships/hyperlink" Target="https://sciwheel.com/work/citation?ids=18119687,5174811,18119689&amp;pre=&amp;pre=&amp;pre=&amp;suf=&amp;suf=&amp;suf=&amp;sa=0,0,0" TargetMode="External"/><Relationship Id="rId30" Type="http://schemas.openxmlformats.org/officeDocument/2006/relationships/hyperlink" Target="https://sciwheel.com/work/citation?ids=18120008&amp;pre=&amp;suf=&amp;sa=0" TargetMode="External"/><Relationship Id="rId35" Type="http://schemas.openxmlformats.org/officeDocument/2006/relationships/hyperlink" Target="https://sciwheel.com/work/citation?ids=7172217&amp;pre=&amp;suf=&amp;sa=0" TargetMode="External"/><Relationship Id="rId43" Type="http://schemas.openxmlformats.org/officeDocument/2006/relationships/hyperlink" Target="https://sciwheel.com/work/citation?ids=18120023,18119654&amp;pre=&amp;pre=&amp;suf=&amp;suf=&amp;sa=0,0" TargetMode="External"/><Relationship Id="rId48" Type="http://schemas.openxmlformats.org/officeDocument/2006/relationships/hyperlink" Target="https://sciwheel.com/work/citation?ids=18120009&amp;pre=&amp;suf=&amp;sa=0" TargetMode="External"/><Relationship Id="rId56" Type="http://schemas.openxmlformats.org/officeDocument/2006/relationships/hyperlink" Target="https://sciwheel.com/work/bibliography/18119630" TargetMode="External"/><Relationship Id="rId64" Type="http://schemas.openxmlformats.org/officeDocument/2006/relationships/hyperlink" Target="https://sciwheel.com/work/bibliography/9437838" TargetMode="External"/><Relationship Id="rId69" Type="http://schemas.openxmlformats.org/officeDocument/2006/relationships/hyperlink" Target="https://sciwheel.com/work/bibliography/18119674" TargetMode="External"/><Relationship Id="rId77" Type="http://schemas.openxmlformats.org/officeDocument/2006/relationships/hyperlink" Target="https://sciwheel.com/work/bibliography/18120009" TargetMode="External"/><Relationship Id="rId100" Type="http://schemas.openxmlformats.org/officeDocument/2006/relationships/header" Target="header1.xml"/><Relationship Id="rId8" Type="http://schemas.openxmlformats.org/officeDocument/2006/relationships/hyperlink" Target="https://sciwheel.com/work/citation?ids=18119630&amp;pre=&amp;suf=&amp;sa=0" TargetMode="External"/><Relationship Id="rId51" Type="http://schemas.openxmlformats.org/officeDocument/2006/relationships/hyperlink" Target="https://www.hcup-us.ahrq.gov/nisoverview.jsp" TargetMode="External"/><Relationship Id="rId72" Type="http://schemas.openxmlformats.org/officeDocument/2006/relationships/hyperlink" Target="https://sciwheel.com/work/bibliography/5174811" TargetMode="External"/><Relationship Id="rId80" Type="http://schemas.openxmlformats.org/officeDocument/2006/relationships/hyperlink" Target="https://sciwheel.com/work/bibliography/10677596" TargetMode="External"/><Relationship Id="rId85" Type="http://schemas.openxmlformats.org/officeDocument/2006/relationships/hyperlink" Target="https://sciwheel.com/work/bibliography/17048588" TargetMode="External"/><Relationship Id="rId93" Type="http://schemas.openxmlformats.org/officeDocument/2006/relationships/hyperlink" Target="https://sciwheel.com/work/bibliography/18119654" TargetMode="External"/><Relationship Id="rId98" Type="http://schemas.openxmlformats.org/officeDocument/2006/relationships/hyperlink" Target="https://sciwheel.com/work/bibliography/18120033" TargetMode="External"/><Relationship Id="rId3" Type="http://schemas.openxmlformats.org/officeDocument/2006/relationships/webSettings" Target="webSettings.xml"/><Relationship Id="rId12" Type="http://schemas.openxmlformats.org/officeDocument/2006/relationships/hyperlink" Target="https://sciwheel.com/work/citation?ids=18119670&amp;pre=&amp;suf=&amp;sa=0" TargetMode="External"/><Relationship Id="rId17" Type="http://schemas.openxmlformats.org/officeDocument/2006/relationships/hyperlink" Target="https://sciwheel.com/work/citation?ids=18119669&amp;pre=&amp;suf=&amp;sa=0" TargetMode="External"/><Relationship Id="rId25" Type="http://schemas.openxmlformats.org/officeDocument/2006/relationships/hyperlink" Target="https://sciwheel.com/work/citation?ids=18119687&amp;pre=&amp;suf=&amp;sa=0" TargetMode="External"/><Relationship Id="rId33" Type="http://schemas.openxmlformats.org/officeDocument/2006/relationships/hyperlink" Target="https://sciwheel.com/work/citation?ids=7172217&amp;pre=&amp;suf=&amp;sa=0" TargetMode="External"/><Relationship Id="rId38" Type="http://schemas.openxmlformats.org/officeDocument/2006/relationships/hyperlink" Target="https://sciwheel.com/work/citation?ids=7172707,17048588&amp;pre=&amp;pre=&amp;suf=&amp;suf=&amp;sa=0,0" TargetMode="External"/><Relationship Id="rId46" Type="http://schemas.openxmlformats.org/officeDocument/2006/relationships/hyperlink" Target="https://sciwheel.com/work/citation?ids=18120029&amp;pre=&amp;suf=&amp;sa=0" TargetMode="External"/><Relationship Id="rId59" Type="http://schemas.openxmlformats.org/officeDocument/2006/relationships/hyperlink" Target="https://sciwheel.com/work/bibliography/18119658" TargetMode="External"/><Relationship Id="rId67" Type="http://schemas.openxmlformats.org/officeDocument/2006/relationships/hyperlink" Target="https://sciwheel.com/work/bibliography/6773727" TargetMode="External"/><Relationship Id="rId103" Type="http://schemas.openxmlformats.org/officeDocument/2006/relationships/theme" Target="theme/theme1.xml"/><Relationship Id="rId20" Type="http://schemas.openxmlformats.org/officeDocument/2006/relationships/hyperlink" Target="https://sciwheel.com/work/citation?ids=2119686&amp;pre=&amp;suf=&amp;sa=0" TargetMode="External"/><Relationship Id="rId41" Type="http://schemas.openxmlformats.org/officeDocument/2006/relationships/hyperlink" Target="https://sciwheel.com/work/citation?ids=18120022&amp;pre=&amp;suf=&amp;sa=0" TargetMode="External"/><Relationship Id="rId54" Type="http://schemas.openxmlformats.org/officeDocument/2006/relationships/hyperlink" Target="https://sciwheel.com/work/bibliography/2119686" TargetMode="External"/><Relationship Id="rId62" Type="http://schemas.openxmlformats.org/officeDocument/2006/relationships/hyperlink" Target="https://sciwheel.com/work/bibliography/18119669" TargetMode="External"/><Relationship Id="rId70" Type="http://schemas.openxmlformats.org/officeDocument/2006/relationships/hyperlink" Target="https://sciwheel.com/work/bibliography/18119684" TargetMode="External"/><Relationship Id="rId75" Type="http://schemas.openxmlformats.org/officeDocument/2006/relationships/hyperlink" Target="https://sciwheel.com/work/bibliography/9500503" TargetMode="External"/><Relationship Id="rId83" Type="http://schemas.openxmlformats.org/officeDocument/2006/relationships/hyperlink" Target="https://sciwheel.com/work/bibliography/18120016" TargetMode="External"/><Relationship Id="rId88" Type="http://schemas.openxmlformats.org/officeDocument/2006/relationships/hyperlink" Target="https://sciwheel.com/work/bibliography/18120020" TargetMode="External"/><Relationship Id="rId91" Type="http://schemas.openxmlformats.org/officeDocument/2006/relationships/hyperlink" Target="https://sciwheel.com/work/bibliography/15355343" TargetMode="External"/><Relationship Id="rId96" Type="http://schemas.openxmlformats.org/officeDocument/2006/relationships/hyperlink" Target="https://sciwheel.com/work/bibliography/18120029" TargetMode="External"/><Relationship Id="rId1" Type="http://schemas.openxmlformats.org/officeDocument/2006/relationships/styles" Target="styles.xml"/><Relationship Id="rId6" Type="http://schemas.openxmlformats.org/officeDocument/2006/relationships/hyperlink" Target="https://sciwheel.com/work/citation?ids=7166952&amp;pre=&amp;suf=&amp;sa=0" TargetMode="External"/><Relationship Id="rId15" Type="http://schemas.openxmlformats.org/officeDocument/2006/relationships/hyperlink" Target="https://sciwheel.com/work/citation?ids=18119670&amp;pre=&amp;suf=&amp;sa=0" TargetMode="External"/><Relationship Id="rId23" Type="http://schemas.openxmlformats.org/officeDocument/2006/relationships/hyperlink" Target="https://sciwheel.com/work/citation?ids=18119674&amp;pre=&amp;suf=&amp;sa=0" TargetMode="External"/><Relationship Id="rId28" Type="http://schemas.openxmlformats.org/officeDocument/2006/relationships/hyperlink" Target="https://sciwheel.com/work/citation?ids=9514191&amp;pre=&amp;suf=&amp;sa=0" TargetMode="External"/><Relationship Id="rId36" Type="http://schemas.openxmlformats.org/officeDocument/2006/relationships/hyperlink" Target="https://sciwheel.com/work/citation?ids=10677596&amp;pre=&amp;suf=&amp;sa=0" TargetMode="External"/><Relationship Id="rId49" Type="http://schemas.openxmlformats.org/officeDocument/2006/relationships/hyperlink" Target="https://sciwheel.com/work/citation?ids=18120033&amp;pre=&amp;suf=&amp;sa=0" TargetMode="External"/><Relationship Id="rId57" Type="http://schemas.openxmlformats.org/officeDocument/2006/relationships/hyperlink" Target="https://sciwheel.com/work/bibliography/18120397" TargetMode="External"/><Relationship Id="rId10" Type="http://schemas.openxmlformats.org/officeDocument/2006/relationships/hyperlink" Target="https://sciwheel.com/work/citation?ids=18119656&amp;pre=&amp;suf=&amp;sa=0" TargetMode="External"/><Relationship Id="rId31" Type="http://schemas.openxmlformats.org/officeDocument/2006/relationships/hyperlink" Target="https://sciwheel.com/work/citation?ids=18120008&amp;pre=&amp;suf=&amp;sa=0" TargetMode="External"/><Relationship Id="rId44" Type="http://schemas.openxmlformats.org/officeDocument/2006/relationships/hyperlink" Target="https://sciwheel.com/work/citation?ids=18120027,11988050&amp;pre=&amp;pre=&amp;suf=&amp;suf=&amp;sa=0,0" TargetMode="External"/><Relationship Id="rId52" Type="http://schemas.openxmlformats.org/officeDocument/2006/relationships/hyperlink" Target="https://sciwheel.com/work/bibliography/7166952" TargetMode="External"/><Relationship Id="rId60" Type="http://schemas.openxmlformats.org/officeDocument/2006/relationships/hyperlink" Target="https://sciwheel.com/work/bibliography/18119667" TargetMode="External"/><Relationship Id="rId65" Type="http://schemas.openxmlformats.org/officeDocument/2006/relationships/hyperlink" Target="https://sciwheel.com/work/bibliography/18119668" TargetMode="External"/><Relationship Id="rId73" Type="http://schemas.openxmlformats.org/officeDocument/2006/relationships/hyperlink" Target="https://sciwheel.com/work/bibliography/18119689" TargetMode="External"/><Relationship Id="rId78" Type="http://schemas.openxmlformats.org/officeDocument/2006/relationships/hyperlink" Target="https://sciwheel.com/work/bibliography/7172217" TargetMode="External"/><Relationship Id="rId81" Type="http://schemas.openxmlformats.org/officeDocument/2006/relationships/hyperlink" Target="https://sciwheel.com/work/bibliography/18120015" TargetMode="External"/><Relationship Id="rId86" Type="http://schemas.openxmlformats.org/officeDocument/2006/relationships/hyperlink" Target="https://sciwheel.com/work/bibliography/13888599" TargetMode="External"/><Relationship Id="rId94" Type="http://schemas.openxmlformats.org/officeDocument/2006/relationships/hyperlink" Target="https://sciwheel.com/work/bibliography/18120027" TargetMode="External"/><Relationship Id="rId99" Type="http://schemas.openxmlformats.org/officeDocument/2006/relationships/hyperlink" Target="https://sciwheel.com/work/bibliography/18119682" TargetMode="External"/><Relationship Id="rId10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sciwheel.com/work/citation?ids=18120397,7166952&amp;pre=&amp;pre=&amp;suf=&amp;suf=&amp;sa=0,0" TargetMode="External"/><Relationship Id="rId13" Type="http://schemas.openxmlformats.org/officeDocument/2006/relationships/hyperlink" Target="https://sciwheel.com/work/citation?ids=18119669&amp;pre=&amp;suf=&amp;sa=0" TargetMode="External"/><Relationship Id="rId18" Type="http://schemas.openxmlformats.org/officeDocument/2006/relationships/hyperlink" Target="https://sciwheel.com/work/citation?ids=18119668&amp;pre=&amp;suf=&amp;sa=0" TargetMode="External"/><Relationship Id="rId39" Type="http://schemas.openxmlformats.org/officeDocument/2006/relationships/hyperlink" Target="https://sciwheel.com/work/citation?ids=13888599&amp;pre=&amp;suf=&amp;sa=0" TargetMode="External"/><Relationship Id="rId34" Type="http://schemas.openxmlformats.org/officeDocument/2006/relationships/hyperlink" Target="https://sciwheel.com/work/citation?ids=1641374&amp;pre=&amp;suf=&amp;sa=0" TargetMode="External"/><Relationship Id="rId50" Type="http://schemas.openxmlformats.org/officeDocument/2006/relationships/hyperlink" Target="https://sciwheel.com/work/citation?ids=18119682&amp;pre=&amp;suf=&amp;sa=0" TargetMode="External"/><Relationship Id="rId55" Type="http://schemas.openxmlformats.org/officeDocument/2006/relationships/hyperlink" Target="https://sciwheel.com/work/bibliography/10104461" TargetMode="External"/><Relationship Id="rId76" Type="http://schemas.openxmlformats.org/officeDocument/2006/relationships/hyperlink" Target="https://sciwheel.com/work/bibliography/18120008" TargetMode="External"/><Relationship Id="rId97" Type="http://schemas.openxmlformats.org/officeDocument/2006/relationships/hyperlink" Target="https://sciwheel.com/work/bibliography/18120031"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8210</Words>
  <Characters>46800</Characters>
  <Application>Microsoft Office Word</Application>
  <DocSecurity>0</DocSecurity>
  <Lines>390</Lines>
  <Paragraphs>109</Paragraphs>
  <ScaleCrop>false</ScaleCrop>
  <Company/>
  <LinksUpToDate>false</LinksUpToDate>
  <CharactersWithSpaces>54901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cp:lastModifiedBy>
  <cp:revision>2</cp:revision>
  <dcterms:created xsi:type="dcterms:W3CDTF">2026-01-16T20:05:00Z</dcterms:created>
  <dcterms:modified xsi:type="dcterms:W3CDTF">2026-01-16T20:18:00Z</dcterms:modified>
</cp:coreProperties>
</file>