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1F3BA" w14:textId="6CB21031" w:rsidR="00FE654A" w:rsidRPr="00617F11" w:rsidRDefault="00E006DC" w:rsidP="0040357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115265016"/>
      <w:r>
        <w:rPr>
          <w:rFonts w:ascii="Times New Roman" w:cs="Times New Roman"/>
          <w:b/>
        </w:rPr>
        <w:t>&lt;</w:t>
      </w:r>
      <w:r w:rsidRPr="00957477">
        <w:rPr>
          <w:rFonts w:ascii="Times New Roman" w:cs="Times New Roman"/>
          <w:b/>
        </w:rPr>
        <w:t>Title&gt;</w:t>
      </w:r>
      <w:r>
        <w:rPr>
          <w:rFonts w:ascii="Times New Roman" w:cs="Times New Roman"/>
          <w:b/>
        </w:rPr>
        <w:t xml:space="preserve"> </w:t>
      </w:r>
      <w:r w:rsidR="00727020" w:rsidRPr="00617F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Combining Insulin Resistance and Renal Function to Predict Cardiovascular Events: A Multicenter Cohort Study</w:t>
      </w:r>
      <w:r>
        <w:rPr>
          <w:rFonts w:ascii="Times New Roman" w:cs="Times New Roman"/>
          <w:b/>
        </w:rPr>
        <w:t>&lt;</w:t>
      </w:r>
      <w:r>
        <w:rPr>
          <w:rFonts w:ascii="Times New Roman" w:cs="Times New Roman"/>
          <w:b/>
        </w:rPr>
        <w:t>/</w:t>
      </w:r>
      <w:r w:rsidRPr="00957477">
        <w:rPr>
          <w:rFonts w:ascii="Times New Roman" w:cs="Times New Roman"/>
          <w:b/>
        </w:rPr>
        <w:t>Title&gt;</w:t>
      </w:r>
      <w:r>
        <w:rPr>
          <w:rFonts w:ascii="Times New Roman" w:cs="Times New Roman"/>
          <w:b/>
        </w:rPr>
        <w:t xml:space="preserve"> </w:t>
      </w:r>
    </w:p>
    <w:bookmarkEnd w:id="0"/>
    <w:p w14:paraId="29976DF0" w14:textId="77777777" w:rsidR="008C6018" w:rsidRDefault="008C6018" w:rsidP="008C6018">
      <w:pPr>
        <w:spacing w:line="480" w:lineRule="auto"/>
        <w:jc w:val="both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&lt;References&gt;</w:t>
      </w:r>
    </w:p>
    <w:p w14:paraId="2B697767" w14:textId="77777777" w:rsidR="00FE654A" w:rsidRPr="00617F11" w:rsidRDefault="00727020" w:rsidP="00BE1615">
      <w:pPr>
        <w:pStyle w:val="Heading1"/>
        <w:spacing w:before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17F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References</w:t>
      </w:r>
    </w:p>
    <w:p w14:paraId="081661A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color w:val="000000" w:themeColor="text1"/>
          <w:sz w:val="20"/>
        </w:rPr>
        <w:fldChar w:fldCharType="begin"/>
      </w:r>
      <w:r w:rsidRPr="00E605F9">
        <w:rPr>
          <w:rFonts w:ascii="Times New Roman" w:hAnsi="Times New Roman" w:cs="Times New Roman" w:hint="default"/>
          <w:color w:val="000000" w:themeColor="text1"/>
          <w:sz w:val="20"/>
        </w:rPr>
        <w:instrText xml:space="preserve"> ADDIN EN.REFLIST </w:instrText>
      </w:r>
      <w:r w:rsidRPr="00E605F9">
        <w:rPr>
          <w:rFonts w:ascii="Times New Roman" w:hAnsi="Times New Roman" w:cs="Times New Roman" w:hint="default"/>
          <w:color w:val="000000" w:themeColor="text1"/>
          <w:sz w:val="20"/>
        </w:rPr>
        <w:fldChar w:fldCharType="separate"/>
      </w:r>
      <w:r w:rsidRPr="00E605F9">
        <w:rPr>
          <w:rFonts w:ascii="Times New Roman" w:hAnsi="Times New Roman" w:cs="Times New Roman" w:hint="default"/>
          <w:sz w:val="18"/>
        </w:rPr>
        <w:t>1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Global, regional, and national age-sex-specific mortality for 282 causes of death in 195 countries and territories, 1980-2017: a systematic analysis for the Global Burden of Disease Study 2017. </w:t>
      </w:r>
      <w:r w:rsidRPr="00E605F9">
        <w:rPr>
          <w:rFonts w:ascii="Times New Roman" w:hAnsi="Times New Roman" w:cs="Times New Roman" w:hint="default"/>
          <w:i/>
          <w:sz w:val="18"/>
        </w:rPr>
        <w:t>Lancet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392</w:t>
      </w:r>
      <w:r w:rsidRPr="00E605F9">
        <w:rPr>
          <w:rFonts w:ascii="Times New Roman" w:hAnsi="Times New Roman" w:cs="Times New Roman" w:hint="default"/>
          <w:sz w:val="18"/>
        </w:rPr>
        <w:t xml:space="preserve">, 1736–1788 (2018). </w:t>
      </w:r>
      <w:hyperlink r:id="rId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https://doi.org/10.1016/s0140-6736(18)32203-7</w:t>
        </w:r>
      </w:hyperlink>
    </w:p>
    <w:p w14:paraId="5DACA56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</w:t>
      </w:r>
      <w:r w:rsidRPr="00E605F9">
        <w:rPr>
          <w:rFonts w:ascii="Times New Roman" w:hAnsi="Times New Roman" w:cs="Times New Roman" w:hint="default"/>
          <w:sz w:val="18"/>
        </w:rPr>
        <w:tab/>
        <w:t>Roth, G. A.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Global Burden of Cardiovascular Diseases and Risk Factors, 1990-2019: Update From the GBD 2019 Study. </w:t>
      </w:r>
      <w:r w:rsidRPr="00E605F9">
        <w:rPr>
          <w:rFonts w:ascii="Times New Roman" w:hAnsi="Times New Roman" w:cs="Times New Roman" w:hint="default"/>
          <w:i/>
          <w:sz w:val="18"/>
        </w:rPr>
        <w:t>J Am Coll Cardiol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76</w:t>
      </w:r>
      <w:r w:rsidRPr="00E605F9">
        <w:rPr>
          <w:rFonts w:ascii="Times New Roman" w:hAnsi="Times New Roman" w:cs="Times New Roman" w:hint="default"/>
          <w:sz w:val="18"/>
        </w:rPr>
        <w:t xml:space="preserve">, 2982–3021 (2020). </w:t>
      </w:r>
      <w:hyperlink r:id="rId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https://doi.org/10.1016/j.jacc.2020.11.010</w:t>
        </w:r>
      </w:hyperlink>
    </w:p>
    <w:p w14:paraId="4352053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</w:t>
      </w:r>
      <w:r w:rsidRPr="00E605F9">
        <w:rPr>
          <w:rFonts w:ascii="Times New Roman" w:hAnsi="Times New Roman" w:cs="Times New Roman" w:hint="default"/>
          <w:sz w:val="18"/>
        </w:rPr>
        <w:tab/>
        <w:t>Zhang, G.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Smooth muscle cell fate decisions decipher a high-resolution heterogeneity within atherosclerosis molecular subtypes. </w:t>
      </w:r>
      <w:r w:rsidRPr="00E605F9">
        <w:rPr>
          <w:rFonts w:ascii="Times New Roman" w:hAnsi="Times New Roman" w:cs="Times New Roman" w:hint="default"/>
          <w:i/>
          <w:sz w:val="18"/>
        </w:rPr>
        <w:t>J Transl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20</w:t>
      </w:r>
      <w:r w:rsidRPr="00E605F9">
        <w:rPr>
          <w:rFonts w:ascii="Times New Roman" w:hAnsi="Times New Roman" w:cs="Times New Roman" w:hint="default"/>
          <w:sz w:val="18"/>
        </w:rPr>
        <w:t xml:space="preserve">, 568 (2022). </w:t>
      </w:r>
      <w:hyperlink r:id="rId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https://doi.org/10.1186/s12967-022-03795-9</w:t>
        </w:r>
      </w:hyperlink>
    </w:p>
    <w:p w14:paraId="3C9EA336" w14:textId="16E4D7D9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</w:t>
      </w:r>
      <w:r w:rsidRPr="00E605F9">
        <w:rPr>
          <w:rFonts w:ascii="Times New Roman" w:hAnsi="Times New Roman" w:cs="Times New Roman" w:hint="default"/>
          <w:sz w:val="18"/>
        </w:rPr>
        <w:tab/>
        <w:t>Zhang, T.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Circadian Immunity and Vascular Inflammation in Cardiovascular Disease Chronotherapy Windows: Time for a Re-Assessment. </w:t>
      </w:r>
      <w:r w:rsidRPr="00E605F9">
        <w:rPr>
          <w:rFonts w:ascii="Times New Roman" w:hAnsi="Times New Roman" w:cs="Times New Roman" w:hint="default"/>
          <w:i/>
          <w:sz w:val="18"/>
        </w:rPr>
        <w:t>Med Research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n/a</w:t>
      </w:r>
      <w:r w:rsidR="00403579" w:rsidRPr="00E605F9">
        <w:rPr>
          <w:rFonts w:ascii="Times New Roman" w:hAnsi="Times New Roman" w:cs="Times New Roman" w:hint="default"/>
          <w:sz w:val="18"/>
        </w:rPr>
        <w:t xml:space="preserve"> </w:t>
      </w:r>
      <w:hyperlink r:id="rId1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https://doi.org/https://doi.org/10.1002/mdr2.70052</w:t>
        </w:r>
      </w:hyperlink>
    </w:p>
    <w:p w14:paraId="2CE82A1B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Bornfeldt, K. E. &amp; Tabas, I. Insulin resistance, hyperglycemia, and atherosclerosis. </w:t>
      </w:r>
      <w:r w:rsidRPr="00E605F9">
        <w:rPr>
          <w:rFonts w:ascii="Times New Roman" w:hAnsi="Times New Roman" w:cs="Times New Roman" w:hint="default"/>
          <w:i/>
          <w:sz w:val="18"/>
        </w:rPr>
        <w:t>Cell Metab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14</w:t>
      </w:r>
      <w:r w:rsidRPr="00E605F9">
        <w:rPr>
          <w:rFonts w:ascii="Times New Roman" w:hAnsi="Times New Roman" w:cs="Times New Roman" w:hint="default"/>
          <w:sz w:val="18"/>
        </w:rPr>
        <w:t xml:space="preserve">, 575–585 (2011). </w:t>
      </w:r>
      <w:hyperlink r:id="rId1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https://doi.org/10.1016/j.cmet.2011.07.015</w:t>
        </w:r>
      </w:hyperlink>
    </w:p>
    <w:p w14:paraId="61A41F5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</w:t>
      </w:r>
      <w:r w:rsidRPr="00E605F9">
        <w:rPr>
          <w:rFonts w:ascii="Times New Roman" w:hAnsi="Times New Roman" w:cs="Times New Roman" w:hint="default"/>
          <w:sz w:val="18"/>
        </w:rPr>
        <w:tab/>
        <w:t>Minh, H. V.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Assessment of preferred methods to measure insulin resistance in Asian patients with hypertension. </w:t>
      </w:r>
      <w:r w:rsidRPr="00E605F9">
        <w:rPr>
          <w:rFonts w:ascii="Times New Roman" w:hAnsi="Times New Roman" w:cs="Times New Roman" w:hint="default"/>
          <w:i/>
          <w:sz w:val="18"/>
        </w:rPr>
        <w:t>J Clin Hypertens (Greenwich)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529–537 (2021). </w:t>
      </w:r>
      <w:hyperlink r:id="rId1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https://doi.org/10.1111/jch.14155</w:t>
        </w:r>
      </w:hyperlink>
    </w:p>
    <w:p w14:paraId="7052CB5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Simental-Mendía, L. E., Rodríguez-Morán, M. &amp; Guerrero-Romero, F. The product of fasting glucose and triglycerides as surrogate for identifying insulin resistance in apparently healthy subjects. </w:t>
      </w:r>
      <w:r w:rsidRPr="00E605F9">
        <w:rPr>
          <w:rFonts w:ascii="Times New Roman" w:hAnsi="Times New Roman" w:cs="Times New Roman" w:hint="default"/>
          <w:i/>
          <w:sz w:val="18"/>
        </w:rPr>
        <w:t>Metab Syndr Relat Disord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6</w:t>
      </w:r>
      <w:r w:rsidRPr="00E605F9">
        <w:rPr>
          <w:rFonts w:ascii="Times New Roman" w:hAnsi="Times New Roman" w:cs="Times New Roman" w:hint="default"/>
          <w:sz w:val="18"/>
        </w:rPr>
        <w:t xml:space="preserve">, 299–304 (2008). </w:t>
      </w:r>
      <w:hyperlink r:id="rId1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https://doi.org/10.1089/met.2008.0034</w:t>
        </w:r>
      </w:hyperlink>
    </w:p>
    <w:p w14:paraId="334F5259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8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Tao, L. C., Xu, J. N., Wang, T. T., Hua, F. &amp; Li, J. J. Triglyceride-glucose index as a marker in cardiovascular diseases: landscape and limitations.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21</w:t>
      </w:r>
      <w:r w:rsidRPr="00E605F9">
        <w:rPr>
          <w:rFonts w:ascii="Times New Roman" w:hAnsi="Times New Roman" w:cs="Times New Roman" w:hint="default"/>
          <w:sz w:val="18"/>
        </w:rPr>
        <w:t xml:space="preserve">, 68 (2022). </w:t>
      </w:r>
      <w:hyperlink r:id="rId1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https://doi.org/10.1186/s12933-022-01511-x</w:t>
        </w:r>
      </w:hyperlink>
    </w:p>
    <w:p w14:paraId="0516EB7D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9</w:t>
      </w:r>
      <w:r w:rsidRPr="00E605F9">
        <w:rPr>
          <w:rFonts w:ascii="Times New Roman" w:hAnsi="Times New Roman" w:cs="Times New Roman" w:hint="default"/>
          <w:sz w:val="18"/>
        </w:rPr>
        <w:tab/>
        <w:t>Shi, W.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Value of triglyceride-glucose index for the estimation of ischemic stroke risk: Insights from a general population. </w:t>
      </w:r>
      <w:r w:rsidRPr="00E605F9">
        <w:rPr>
          <w:rFonts w:ascii="Times New Roman" w:hAnsi="Times New Roman" w:cs="Times New Roman" w:hint="default"/>
          <w:i/>
          <w:sz w:val="18"/>
        </w:rPr>
        <w:t>Nutr Metab Cardiovasc Dis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30</w:t>
      </w:r>
      <w:r w:rsidRPr="00E605F9">
        <w:rPr>
          <w:rFonts w:ascii="Times New Roman" w:hAnsi="Times New Roman" w:cs="Times New Roman" w:hint="default"/>
          <w:sz w:val="18"/>
        </w:rPr>
        <w:t xml:space="preserve">, 245–253 (2020). </w:t>
      </w:r>
      <w:hyperlink r:id="rId1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https://doi.org/10.1016/j.numecd.2019.09.015</w:t>
        </w:r>
      </w:hyperlink>
    </w:p>
    <w:p w14:paraId="5B54D501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10</w:t>
      </w:r>
      <w:r w:rsidRPr="00E605F9">
        <w:rPr>
          <w:rFonts w:ascii="Times New Roman" w:hAnsi="Times New Roman" w:cs="Times New Roman" w:hint="default"/>
          <w:sz w:val="18"/>
        </w:rPr>
        <w:tab/>
        <w:t>Guo, W.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 Glucose Index Is Associated With Arterial Stiffness and 10-Year Cardiovascular Disease Risk in a Chinese Population. </w:t>
      </w:r>
      <w:r w:rsidRPr="00E605F9">
        <w:rPr>
          <w:rFonts w:ascii="Times New Roman" w:hAnsi="Times New Roman" w:cs="Times New Roman" w:hint="default"/>
          <w:i/>
          <w:sz w:val="18"/>
        </w:rPr>
        <w:t>Front Cardiovasc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8</w:t>
      </w:r>
      <w:r w:rsidRPr="00E605F9">
        <w:rPr>
          <w:rFonts w:ascii="Times New Roman" w:hAnsi="Times New Roman" w:cs="Times New Roman" w:hint="default"/>
          <w:sz w:val="18"/>
        </w:rPr>
        <w:t xml:space="preserve">, 585776 (2021). </w:t>
      </w:r>
      <w:hyperlink r:id="rId1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https://doi.org/10.3389/fcvm.2021.585776</w:t>
        </w:r>
      </w:hyperlink>
    </w:p>
    <w:p w14:paraId="607C62D9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11</w:t>
      </w:r>
      <w:r w:rsidRPr="00E605F9">
        <w:rPr>
          <w:rFonts w:ascii="Times New Roman" w:hAnsi="Times New Roman" w:cs="Times New Roman" w:hint="default"/>
          <w:sz w:val="18"/>
        </w:rPr>
        <w:tab/>
        <w:t>Su, W. Y.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Comparison of the Effects of Fasting Glucose, Hemoglobin A(1c), and Triglyceride-Glucose Index on Cardiovascular Events in Type 2 Diabetes Mellitus. </w:t>
      </w:r>
      <w:r w:rsidRPr="00E605F9">
        <w:rPr>
          <w:rFonts w:ascii="Times New Roman" w:hAnsi="Times New Roman" w:cs="Times New Roman" w:hint="default"/>
          <w:i/>
          <w:sz w:val="18"/>
        </w:rPr>
        <w:t>Nutrients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11</w:t>
      </w:r>
      <w:r w:rsidRPr="00E605F9">
        <w:rPr>
          <w:rFonts w:ascii="Times New Roman" w:hAnsi="Times New Roman" w:cs="Times New Roman" w:hint="default"/>
          <w:sz w:val="18"/>
        </w:rPr>
        <w:t xml:space="preserve"> (2019). </w:t>
      </w:r>
      <w:hyperlink r:id="rId1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https://doi.org/10.3390/nu11112838</w:t>
        </w:r>
      </w:hyperlink>
    </w:p>
    <w:p w14:paraId="1EE916B8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12</w:t>
      </w:r>
      <w:r w:rsidRPr="00E605F9">
        <w:rPr>
          <w:rFonts w:ascii="Times New Roman" w:hAnsi="Times New Roman" w:cs="Times New Roman" w:hint="default"/>
          <w:sz w:val="18"/>
        </w:rPr>
        <w:tab/>
        <w:t>Li,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The role of the triglyceride (triacylglycerol) glucose index in the development of cardiovascular events: a retrospective cohort analysis. </w:t>
      </w:r>
      <w:r w:rsidRPr="00E605F9">
        <w:rPr>
          <w:rFonts w:ascii="Times New Roman" w:hAnsi="Times New Roman" w:cs="Times New Roman" w:hint="default"/>
          <w:i/>
          <w:sz w:val="18"/>
        </w:rPr>
        <w:t>Sci Rep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9</w:t>
      </w:r>
      <w:r w:rsidRPr="00E605F9">
        <w:rPr>
          <w:rFonts w:ascii="Times New Roman" w:hAnsi="Times New Roman" w:cs="Times New Roman" w:hint="default"/>
          <w:sz w:val="18"/>
        </w:rPr>
        <w:t xml:space="preserve">, 7320 (2019). </w:t>
      </w:r>
      <w:hyperlink r:id="rId1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https://doi.org/10.1038/s41598-019-43776-5</w:t>
        </w:r>
      </w:hyperlink>
    </w:p>
    <w:p w14:paraId="6F195C4B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13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Hong, S., Han, K. &amp; Park, C. Y. The triglyceride glucose index is a simple and low-cost marker associated with atherosclerotic cardiovascular disease: a population-based study. </w:t>
      </w:r>
      <w:r w:rsidRPr="00E605F9">
        <w:rPr>
          <w:rFonts w:ascii="Times New Roman" w:hAnsi="Times New Roman" w:cs="Times New Roman" w:hint="default"/>
          <w:i/>
          <w:sz w:val="18"/>
        </w:rPr>
        <w:t>BMC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18</w:t>
      </w:r>
      <w:r w:rsidRPr="00E605F9">
        <w:rPr>
          <w:rFonts w:ascii="Times New Roman" w:hAnsi="Times New Roman" w:cs="Times New Roman" w:hint="default"/>
          <w:sz w:val="18"/>
        </w:rPr>
        <w:t xml:space="preserve">, 361 (2020). </w:t>
      </w:r>
      <w:hyperlink r:id="rId1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https://doi.org/10.1186/s12916-020-01824-2</w:t>
        </w:r>
      </w:hyperlink>
    </w:p>
    <w:p w14:paraId="0D4B18C0" w14:textId="77777777" w:rsidR="00403579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14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Bertoluci, M. C., Quadros, A. S., Sarmento-Leite, R. &amp; Schaan, B. D. Insulin resistance and triglyceride/HDL c index are associated with coronary artery disease. </w:t>
      </w:r>
      <w:r w:rsidRPr="00E605F9">
        <w:rPr>
          <w:rFonts w:ascii="Times New Roman" w:hAnsi="Times New Roman" w:cs="Times New Roman" w:hint="default"/>
          <w:i/>
          <w:sz w:val="18"/>
        </w:rPr>
        <w:t>Diabetology &amp; metabolic syndrome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</w:t>
      </w:r>
      <w:r w:rsidRPr="00E605F9">
        <w:rPr>
          <w:rFonts w:ascii="Times New Roman" w:hAnsi="Times New Roman" w:cs="Times New Roman" w:hint="default"/>
          <w:sz w:val="18"/>
        </w:rPr>
        <w:t>, 1–5 (2010).</w:t>
      </w:r>
    </w:p>
    <w:p w14:paraId="234E186C" w14:textId="25AD881A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Thai, P. V., Tien, H. A., Van Minh, H. &amp; Valensi, P. Triglyceride glucose index for the detection of asymptomatic coronary artery stenosis in patients with type 2 diabetes.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19</w:t>
      </w:r>
      <w:r w:rsidRPr="00E605F9">
        <w:rPr>
          <w:rFonts w:ascii="Times New Roman" w:hAnsi="Times New Roman" w:cs="Times New Roman" w:hint="default"/>
          <w:sz w:val="18"/>
        </w:rPr>
        <w:t xml:space="preserve">, 137 (2020). </w:t>
      </w:r>
      <w:hyperlink r:id="rId2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https://doi.org/10.1186/s12933-020-01108-2</w:t>
        </w:r>
      </w:hyperlink>
    </w:p>
    <w:p w14:paraId="060BA1D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16</w:t>
      </w:r>
      <w:r w:rsidRPr="00E605F9">
        <w:rPr>
          <w:rFonts w:ascii="Times New Roman" w:hAnsi="Times New Roman" w:cs="Times New Roman" w:hint="default"/>
          <w:sz w:val="18"/>
        </w:rPr>
        <w:tab/>
        <w:t>Huang, R.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Prognostic value of triglyceride glucose (TyG) index in patients with acute decompensated heart failure.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21</w:t>
      </w:r>
      <w:r w:rsidRPr="00E605F9">
        <w:rPr>
          <w:rFonts w:ascii="Times New Roman" w:hAnsi="Times New Roman" w:cs="Times New Roman" w:hint="default"/>
          <w:sz w:val="18"/>
        </w:rPr>
        <w:t xml:space="preserve">, 88 (2022). </w:t>
      </w:r>
      <w:hyperlink r:id="rId2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https://doi.org/10.1186/s12933-022-01507-7</w:t>
        </w:r>
      </w:hyperlink>
    </w:p>
    <w:p w14:paraId="074C1D8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lastRenderedPageBreak/>
        <w:t>17</w:t>
      </w:r>
      <w:r w:rsidRPr="00E605F9">
        <w:rPr>
          <w:rFonts w:ascii="Times New Roman" w:hAnsi="Times New Roman" w:cs="Times New Roman" w:hint="default"/>
          <w:sz w:val="18"/>
        </w:rPr>
        <w:tab/>
        <w:t>Lee, E. Y.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 glucose index, a marker of insulin resistance, is associated with coronary artery stenosis in asymptomatic subjects with type 2 diabetes. </w:t>
      </w:r>
      <w:r w:rsidRPr="00E605F9">
        <w:rPr>
          <w:rFonts w:ascii="Times New Roman" w:hAnsi="Times New Roman" w:cs="Times New Roman" w:hint="default"/>
          <w:i/>
          <w:sz w:val="18"/>
        </w:rPr>
        <w:t>Lipids Health Dis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 xml:space="preserve">, 155 (2016). </w:t>
      </w:r>
      <w:hyperlink r:id="rId2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https://doi.org/10.1186/s12944-016-0324-2</w:t>
        </w:r>
      </w:hyperlink>
    </w:p>
    <w:p w14:paraId="0E14AF63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18</w:t>
      </w:r>
      <w:r w:rsidRPr="00E605F9">
        <w:rPr>
          <w:rFonts w:ascii="Times New Roman" w:hAnsi="Times New Roman" w:cs="Times New Roman" w:hint="default"/>
          <w:sz w:val="18"/>
        </w:rPr>
        <w:tab/>
        <w:t>Zhu, Y.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Triglyceride-glucose index is associated with in-stent restenosis in patients with acute coronary syndrome after percutaneous coronary intervention with drug-eluting stents.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20</w:t>
      </w:r>
      <w:r w:rsidRPr="00E605F9">
        <w:rPr>
          <w:rFonts w:ascii="Times New Roman" w:hAnsi="Times New Roman" w:cs="Times New Roman" w:hint="default"/>
          <w:sz w:val="18"/>
        </w:rPr>
        <w:t xml:space="preserve">, 137 (2021). </w:t>
      </w:r>
      <w:hyperlink r:id="rId2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https://doi.org/10.1186/s12933-021-01332-4</w:t>
        </w:r>
      </w:hyperlink>
    </w:p>
    <w:p w14:paraId="4A99346B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19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Vallianou, N. G., Mitesh, S., Gkogkou, A. &amp; Geladari, E. Chronic Kidney Disease and Cardiovascular Disease: Is there Any Relationship? </w:t>
      </w:r>
      <w:r w:rsidRPr="00E605F9">
        <w:rPr>
          <w:rFonts w:ascii="Times New Roman" w:hAnsi="Times New Roman" w:cs="Times New Roman" w:hint="default"/>
          <w:i/>
          <w:sz w:val="18"/>
        </w:rPr>
        <w:t>Curr Cardiol Rev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 xml:space="preserve">, 55–63 (2019). </w:t>
      </w:r>
      <w:hyperlink r:id="rId2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https://doi.org/10.2174/1573403x14666180711124825</w:t>
        </w:r>
      </w:hyperlink>
    </w:p>
    <w:p w14:paraId="727CC356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20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KDIGO 2024 Clinical Practice Guideline for the Evaluation and Management of Chronic Kidney Disease. </w:t>
      </w:r>
      <w:r w:rsidRPr="00E605F9">
        <w:rPr>
          <w:rFonts w:ascii="Times New Roman" w:hAnsi="Times New Roman" w:cs="Times New Roman" w:hint="default"/>
          <w:i/>
          <w:sz w:val="18"/>
        </w:rPr>
        <w:t>Kidney Int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105</w:t>
      </w:r>
      <w:r w:rsidRPr="00E605F9">
        <w:rPr>
          <w:rFonts w:ascii="Times New Roman" w:hAnsi="Times New Roman" w:cs="Times New Roman" w:hint="default"/>
          <w:sz w:val="18"/>
        </w:rPr>
        <w:t xml:space="preserve">, S117–s314 (2024). </w:t>
      </w:r>
      <w:hyperlink r:id="rId2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https://doi.org/10.1016/j.kint.2023.10.018</w:t>
        </w:r>
      </w:hyperlink>
    </w:p>
    <w:p w14:paraId="375EAB9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21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Briasoulis, A. &amp; Bakris, G. L. Chronic kidney disease as a coronary artery disease risk equivalent. </w:t>
      </w:r>
      <w:r w:rsidRPr="00E605F9">
        <w:rPr>
          <w:rFonts w:ascii="Times New Roman" w:hAnsi="Times New Roman" w:cs="Times New Roman" w:hint="default"/>
          <w:i/>
          <w:sz w:val="18"/>
        </w:rPr>
        <w:t>Curr Cardiol Rep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 xml:space="preserve">, 340 (2013). </w:t>
      </w:r>
      <w:hyperlink r:id="rId2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https://doi.org/10.1007/s11886-012-0340-4</w:t>
        </w:r>
      </w:hyperlink>
    </w:p>
    <w:p w14:paraId="45EA52C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22</w:t>
      </w:r>
      <w:r w:rsidRPr="00E605F9">
        <w:rPr>
          <w:rFonts w:ascii="Times New Roman" w:hAnsi="Times New Roman" w:cs="Times New Roman" w:hint="default"/>
          <w:sz w:val="18"/>
        </w:rPr>
        <w:tab/>
        <w:t>Lees, J.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Glomerular filtration rate by differing measures, albuminuria and prediction of cardiovascular disease, mortality and end-stage kidney disease. </w:t>
      </w:r>
      <w:r w:rsidRPr="00E605F9">
        <w:rPr>
          <w:rFonts w:ascii="Times New Roman" w:hAnsi="Times New Roman" w:cs="Times New Roman" w:hint="default"/>
          <w:i/>
          <w:sz w:val="18"/>
        </w:rPr>
        <w:t>Nat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25</w:t>
      </w:r>
      <w:r w:rsidRPr="00E605F9">
        <w:rPr>
          <w:rFonts w:ascii="Times New Roman" w:hAnsi="Times New Roman" w:cs="Times New Roman" w:hint="default"/>
          <w:sz w:val="18"/>
        </w:rPr>
        <w:t xml:space="preserve">, 1753–1760 (2019). </w:t>
      </w:r>
      <w:hyperlink r:id="rId2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https://doi.org/10.1038/s41591-019-0627-8</w:t>
        </w:r>
      </w:hyperlink>
    </w:p>
    <w:p w14:paraId="497613E7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ab/>
        <w:t>Donfrancesco, C.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Estimated glomerular filtration rate, all-cause mortality and cardiovascular diseases incidence in a low risk population: the MATISS study. </w:t>
      </w:r>
      <w:r w:rsidRPr="00E605F9">
        <w:rPr>
          <w:rFonts w:ascii="Times New Roman" w:hAnsi="Times New Roman" w:cs="Times New Roman" w:hint="default"/>
          <w:i/>
          <w:sz w:val="18"/>
        </w:rPr>
        <w:t>PLoS One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8</w:t>
      </w:r>
      <w:r w:rsidRPr="00E605F9">
        <w:rPr>
          <w:rFonts w:ascii="Times New Roman" w:hAnsi="Times New Roman" w:cs="Times New Roman" w:hint="default"/>
          <w:sz w:val="18"/>
        </w:rPr>
        <w:t xml:space="preserve">, e78475 (2013). </w:t>
      </w:r>
      <w:hyperlink r:id="rId2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https://doi.org/10.1371/journal.pone.0078475</w:t>
        </w:r>
      </w:hyperlink>
    </w:p>
    <w:p w14:paraId="51E6519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24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Elliott, P. &amp; Peakman, T. C. The UK Biobank sample handling and storage protocol for the collection, processing and archiving of human blood and urine. </w:t>
      </w:r>
      <w:r w:rsidRPr="00E605F9">
        <w:rPr>
          <w:rFonts w:ascii="Times New Roman" w:hAnsi="Times New Roman" w:cs="Times New Roman" w:hint="default"/>
          <w:i/>
          <w:sz w:val="18"/>
        </w:rPr>
        <w:t>Int J Epidemiol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37</w:t>
      </w:r>
      <w:r w:rsidRPr="00E605F9">
        <w:rPr>
          <w:rFonts w:ascii="Times New Roman" w:hAnsi="Times New Roman" w:cs="Times New Roman" w:hint="default"/>
          <w:sz w:val="18"/>
        </w:rPr>
        <w:t xml:space="preserve">, 234–244 (2008). </w:t>
      </w:r>
      <w:hyperlink r:id="rId2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https://doi.org/10.1093/ije/dym276</w:t>
        </w:r>
      </w:hyperlink>
    </w:p>
    <w:p w14:paraId="0BD420EA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25</w:t>
      </w:r>
      <w:r w:rsidRPr="00E605F9">
        <w:rPr>
          <w:rFonts w:ascii="Times New Roman" w:hAnsi="Times New Roman" w:cs="Times New Roman" w:hint="default"/>
          <w:sz w:val="18"/>
        </w:rPr>
        <w:tab/>
        <w:t>Fritz, J.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The triglyceride-glucose index as a measure of insulin resistance and risk of obesity-related cancers. </w:t>
      </w:r>
      <w:r w:rsidRPr="00E605F9">
        <w:rPr>
          <w:rFonts w:ascii="Times New Roman" w:hAnsi="Times New Roman" w:cs="Times New Roman" w:hint="default"/>
          <w:i/>
          <w:sz w:val="18"/>
        </w:rPr>
        <w:t>Int J Epidemiol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49</w:t>
      </w:r>
      <w:r w:rsidRPr="00E605F9">
        <w:rPr>
          <w:rFonts w:ascii="Times New Roman" w:hAnsi="Times New Roman" w:cs="Times New Roman" w:hint="default"/>
          <w:sz w:val="18"/>
        </w:rPr>
        <w:t xml:space="preserve">, 193–204 (2020). </w:t>
      </w:r>
      <w:hyperlink r:id="rId3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https://doi.org/10.1093/ije/dyz053</w:t>
        </w:r>
      </w:hyperlink>
    </w:p>
    <w:p w14:paraId="63FF607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26</w:t>
      </w:r>
      <w:r w:rsidRPr="00E605F9">
        <w:rPr>
          <w:rFonts w:ascii="Times New Roman" w:hAnsi="Times New Roman" w:cs="Times New Roman" w:hint="default"/>
          <w:sz w:val="18"/>
        </w:rPr>
        <w:tab/>
        <w:t>Levey, A.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 new equation to estimate glomerular filtration rate. </w:t>
      </w:r>
      <w:r w:rsidRPr="00E605F9">
        <w:rPr>
          <w:rFonts w:ascii="Times New Roman" w:hAnsi="Times New Roman" w:cs="Times New Roman" w:hint="default"/>
          <w:i/>
          <w:sz w:val="18"/>
        </w:rPr>
        <w:t>Ann Intern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150</w:t>
      </w:r>
      <w:r w:rsidRPr="00E605F9">
        <w:rPr>
          <w:rFonts w:ascii="Times New Roman" w:hAnsi="Times New Roman" w:cs="Times New Roman" w:hint="default"/>
          <w:sz w:val="18"/>
        </w:rPr>
        <w:t xml:space="preserve">, 604–612 (2009). </w:t>
      </w:r>
      <w:hyperlink r:id="rId3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https://doi.org/10.7326/0003-4819-150-9-200905050-00006</w:t>
        </w:r>
      </w:hyperlink>
    </w:p>
    <w:p w14:paraId="572381B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27</w:t>
      </w:r>
      <w:r w:rsidRPr="00E605F9">
        <w:rPr>
          <w:rFonts w:ascii="Times New Roman" w:hAnsi="Times New Roman" w:cs="Times New Roman" w:hint="default"/>
          <w:sz w:val="18"/>
        </w:rPr>
        <w:tab/>
        <w:t>Tyrrell, J.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Height, body mass index, and socioeconomic status: mendelian randomisation study in UK Biobank. </w:t>
      </w:r>
      <w:r w:rsidRPr="00E605F9">
        <w:rPr>
          <w:rFonts w:ascii="Times New Roman" w:hAnsi="Times New Roman" w:cs="Times New Roman" w:hint="default"/>
          <w:i/>
          <w:sz w:val="18"/>
        </w:rPr>
        <w:t>Bmj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352</w:t>
      </w:r>
      <w:r w:rsidRPr="00E605F9">
        <w:rPr>
          <w:rFonts w:ascii="Times New Roman" w:hAnsi="Times New Roman" w:cs="Times New Roman" w:hint="default"/>
          <w:sz w:val="18"/>
        </w:rPr>
        <w:t xml:space="preserve">, i582 (2016). </w:t>
      </w:r>
      <w:hyperlink r:id="rId3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https://doi.org/10.1136/bmj.i582</w:t>
        </w:r>
      </w:hyperlink>
    </w:p>
    <w:p w14:paraId="0833A82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28</w:t>
      </w:r>
      <w:r w:rsidRPr="00E605F9">
        <w:rPr>
          <w:rFonts w:ascii="Times New Roman" w:hAnsi="Times New Roman" w:cs="Times New Roman" w:hint="default"/>
          <w:sz w:val="18"/>
        </w:rPr>
        <w:tab/>
        <w:t>Craig, C. L.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International physical activity questionnaire: 12-country reliability and validity. </w:t>
      </w:r>
      <w:r w:rsidRPr="00E605F9">
        <w:rPr>
          <w:rFonts w:ascii="Times New Roman" w:hAnsi="Times New Roman" w:cs="Times New Roman" w:hint="default"/>
          <w:i/>
          <w:sz w:val="18"/>
        </w:rPr>
        <w:t>Med Sci Sports Exerc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35</w:t>
      </w:r>
      <w:r w:rsidRPr="00E605F9">
        <w:rPr>
          <w:rFonts w:ascii="Times New Roman" w:hAnsi="Times New Roman" w:cs="Times New Roman" w:hint="default"/>
          <w:sz w:val="18"/>
        </w:rPr>
        <w:t xml:space="preserve">, 1381–1395 (2003). </w:t>
      </w:r>
      <w:hyperlink r:id="rId3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https://doi.org/10.1249/01.Mss.0000078924.61453.Fb</w:t>
        </w:r>
      </w:hyperlink>
    </w:p>
    <w:p w14:paraId="40C62713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29</w:t>
      </w:r>
      <w:r w:rsidRPr="00E605F9">
        <w:rPr>
          <w:rFonts w:ascii="Times New Roman" w:hAnsi="Times New Roman" w:cs="Times New Roman" w:hint="default"/>
          <w:sz w:val="18"/>
        </w:rPr>
        <w:tab/>
        <w:t>Li, Z.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Advancing predictive markers in lung adenocarcinoma: A machine learning-based immunotherapy prognostic prediction signature. </w:t>
      </w:r>
      <w:r w:rsidRPr="00E605F9">
        <w:rPr>
          <w:rFonts w:ascii="Times New Roman" w:hAnsi="Times New Roman" w:cs="Times New Roman" w:hint="default"/>
          <w:i/>
          <w:sz w:val="18"/>
        </w:rPr>
        <w:t>Environ Toxicol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39</w:t>
      </w:r>
      <w:r w:rsidRPr="00E605F9">
        <w:rPr>
          <w:rFonts w:ascii="Times New Roman" w:hAnsi="Times New Roman" w:cs="Times New Roman" w:hint="default"/>
          <w:sz w:val="18"/>
        </w:rPr>
        <w:t xml:space="preserve">, 4581–4593 (2024). </w:t>
      </w:r>
      <w:hyperlink r:id="rId3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https://doi.org/10.1002/tox.24284</w:t>
        </w:r>
      </w:hyperlink>
    </w:p>
    <w:p w14:paraId="0CD5CE03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30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Zhang, G., Gong, S., Pang, L., Hou, L. &amp; He, W. Efficacy and Safety of Apatinib Treatment for Advanced Cholangiocarcinoma After Failed Gemcitabine-Based Chemotherapy: An Open-Label Phase II Prospective Study. </w:t>
      </w:r>
      <w:r w:rsidRPr="00E605F9">
        <w:rPr>
          <w:rFonts w:ascii="Times New Roman" w:hAnsi="Times New Roman" w:cs="Times New Roman" w:hint="default"/>
          <w:i/>
          <w:sz w:val="18"/>
        </w:rPr>
        <w:t>Front Oncol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11</w:t>
      </w:r>
      <w:r w:rsidRPr="00E605F9">
        <w:rPr>
          <w:rFonts w:ascii="Times New Roman" w:hAnsi="Times New Roman" w:cs="Times New Roman" w:hint="default"/>
          <w:sz w:val="18"/>
        </w:rPr>
        <w:t xml:space="preserve">, 659217 (2021). </w:t>
      </w:r>
      <w:hyperlink r:id="rId3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https://doi.org/10.3389/fonc.2021.659217</w:t>
        </w:r>
      </w:hyperlink>
    </w:p>
    <w:p w14:paraId="014CEED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31</w:t>
      </w:r>
      <w:r w:rsidRPr="00E605F9">
        <w:rPr>
          <w:rFonts w:ascii="Times New Roman" w:hAnsi="Times New Roman" w:cs="Times New Roman" w:hint="default"/>
          <w:sz w:val="18"/>
        </w:rPr>
        <w:tab/>
        <w:t>Wu, R.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Assessing personalized molecular portraits underlying endothelial-to-mesenchymal transition within pulmonary arterial hypertension. </w:t>
      </w:r>
      <w:r w:rsidRPr="00E605F9">
        <w:rPr>
          <w:rFonts w:ascii="Times New Roman" w:hAnsi="Times New Roman" w:cs="Times New Roman" w:hint="default"/>
          <w:i/>
          <w:sz w:val="18"/>
        </w:rPr>
        <w:t>Mol Med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30</w:t>
      </w:r>
      <w:r w:rsidRPr="00E605F9">
        <w:rPr>
          <w:rFonts w:ascii="Times New Roman" w:hAnsi="Times New Roman" w:cs="Times New Roman" w:hint="default"/>
          <w:sz w:val="18"/>
        </w:rPr>
        <w:t xml:space="preserve">, 189 (2024). </w:t>
      </w:r>
      <w:hyperlink r:id="rId3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https://doi.org/10.1186/s10020-024-00963-z</w:t>
        </w:r>
      </w:hyperlink>
    </w:p>
    <w:p w14:paraId="7F741003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32</w:t>
      </w:r>
      <w:r w:rsidRPr="00E605F9">
        <w:rPr>
          <w:rFonts w:ascii="Times New Roman" w:hAnsi="Times New Roman" w:cs="Times New Roman" w:hint="default"/>
          <w:sz w:val="18"/>
        </w:rPr>
        <w:tab/>
        <w:t>Zhang,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An assessment system for clinical and biological interpretability in ulcerative colitis. </w:t>
      </w:r>
      <w:r w:rsidRPr="00E605F9">
        <w:rPr>
          <w:rFonts w:ascii="Times New Roman" w:hAnsi="Times New Roman" w:cs="Times New Roman" w:hint="default"/>
          <w:i/>
          <w:sz w:val="18"/>
        </w:rPr>
        <w:t>Aging (Albany NY)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16</w:t>
      </w:r>
      <w:r w:rsidRPr="00E605F9">
        <w:rPr>
          <w:rFonts w:ascii="Times New Roman" w:hAnsi="Times New Roman" w:cs="Times New Roman" w:hint="default"/>
          <w:sz w:val="18"/>
        </w:rPr>
        <w:t xml:space="preserve">, 3856–3879 (2024). </w:t>
      </w:r>
      <w:hyperlink r:id="rId3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https://doi.org/10.18632/aging.205564</w:t>
        </w:r>
      </w:hyperlink>
    </w:p>
    <w:p w14:paraId="229735B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33</w:t>
      </w:r>
      <w:r w:rsidRPr="00E605F9">
        <w:rPr>
          <w:rFonts w:ascii="Times New Roman" w:hAnsi="Times New Roman" w:cs="Times New Roman" w:hint="default"/>
          <w:sz w:val="18"/>
        </w:rPr>
        <w:tab/>
        <w:t>Zhang,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Artificial Intelligence Hybrid Survival Assessment System for Robot-Assisted Proctectomy: A Retrospective Cohort Study. </w:t>
      </w:r>
      <w:r w:rsidRPr="00E605F9">
        <w:rPr>
          <w:rFonts w:ascii="Times New Roman" w:hAnsi="Times New Roman" w:cs="Times New Roman" w:hint="default"/>
          <w:i/>
          <w:sz w:val="18"/>
        </w:rPr>
        <w:t>JCO Precis Oncol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8</w:t>
      </w:r>
      <w:r w:rsidRPr="00E605F9">
        <w:rPr>
          <w:rFonts w:ascii="Times New Roman" w:hAnsi="Times New Roman" w:cs="Times New Roman" w:hint="default"/>
          <w:sz w:val="18"/>
        </w:rPr>
        <w:t xml:space="preserve">, e2400089 (2024). </w:t>
      </w:r>
      <w:hyperlink r:id="rId3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https://doi.org/10.1200/PO.24.00089</w:t>
        </w:r>
      </w:hyperlink>
    </w:p>
    <w:p w14:paraId="1DF528DE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34</w:t>
      </w:r>
      <w:r w:rsidRPr="00E605F9">
        <w:rPr>
          <w:rFonts w:ascii="Times New Roman" w:hAnsi="Times New Roman" w:cs="Times New Roman" w:hint="default"/>
          <w:sz w:val="18"/>
        </w:rPr>
        <w:tab/>
        <w:t>Zhang, H.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Optimized Dynamic Network Biomarker Deciphers a High-Resolution Heterogeneity Within Thyroid Cancer Molecular Subtypes. </w:t>
      </w:r>
      <w:r w:rsidRPr="00E605F9">
        <w:rPr>
          <w:rFonts w:ascii="Times New Roman" w:hAnsi="Times New Roman" w:cs="Times New Roman" w:hint="default"/>
          <w:i/>
          <w:sz w:val="18"/>
        </w:rPr>
        <w:t>Med Research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</w:t>
      </w:r>
      <w:r w:rsidRPr="00E605F9">
        <w:rPr>
          <w:rFonts w:ascii="Times New Roman" w:hAnsi="Times New Roman" w:cs="Times New Roman" w:hint="default"/>
          <w:sz w:val="18"/>
        </w:rPr>
        <w:t xml:space="preserve">, 10–31 (2025). </w:t>
      </w:r>
      <w:hyperlink r:id="rId3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https://doi.org/https://doi.org/10.1002/mdr2.70004</w:t>
        </w:r>
      </w:hyperlink>
    </w:p>
    <w:p w14:paraId="612D8FA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35</w:t>
      </w:r>
      <w:r w:rsidRPr="00E605F9">
        <w:rPr>
          <w:rFonts w:ascii="Times New Roman" w:hAnsi="Times New Roman" w:cs="Times New Roman" w:hint="default"/>
          <w:sz w:val="18"/>
        </w:rPr>
        <w:tab/>
        <w:t>Li, H.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Triglyceride-glucose index variability and incident cardiovascular disease: a prospective cohort study.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21</w:t>
      </w:r>
      <w:r w:rsidRPr="00E605F9">
        <w:rPr>
          <w:rFonts w:ascii="Times New Roman" w:hAnsi="Times New Roman" w:cs="Times New Roman" w:hint="default"/>
          <w:sz w:val="18"/>
        </w:rPr>
        <w:t xml:space="preserve">, 105 (2022). </w:t>
      </w:r>
      <w:hyperlink r:id="rId4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https://doi.org/10.1186/s12933-022-01541-5</w:t>
        </w:r>
      </w:hyperlink>
    </w:p>
    <w:p w14:paraId="2BEC2287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36</w:t>
      </w:r>
      <w:r w:rsidRPr="00E605F9">
        <w:rPr>
          <w:rFonts w:ascii="Times New Roman" w:hAnsi="Times New Roman" w:cs="Times New Roman" w:hint="default"/>
          <w:sz w:val="18"/>
        </w:rPr>
        <w:tab/>
        <w:t>Cui, C.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Triglyceride-glucose index, renal function and cardiovascular disease: a national cohort study.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22</w:t>
      </w:r>
      <w:r w:rsidRPr="00E605F9">
        <w:rPr>
          <w:rFonts w:ascii="Times New Roman" w:hAnsi="Times New Roman" w:cs="Times New Roman" w:hint="default"/>
          <w:sz w:val="18"/>
        </w:rPr>
        <w:t xml:space="preserve">, 325 (2023). </w:t>
      </w:r>
      <w:hyperlink r:id="rId4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https://doi.org/10.1186/s12933-023-02055-4</w:t>
        </w:r>
      </w:hyperlink>
    </w:p>
    <w:p w14:paraId="1CF5655E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37</w:t>
      </w:r>
      <w:r w:rsidRPr="00E605F9">
        <w:rPr>
          <w:rFonts w:ascii="Times New Roman" w:hAnsi="Times New Roman" w:cs="Times New Roman" w:hint="default"/>
          <w:sz w:val="18"/>
        </w:rPr>
        <w:tab/>
        <w:t>Zhang, Y.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Association of triglyceride glucose-related parameters with all-cause mortality and cardiovascular </w:t>
      </w:r>
      <w:r w:rsidRPr="00E605F9">
        <w:rPr>
          <w:rFonts w:ascii="Times New Roman" w:hAnsi="Times New Roman" w:cs="Times New Roman" w:hint="default"/>
          <w:sz w:val="18"/>
        </w:rPr>
        <w:lastRenderedPageBreak/>
        <w:t xml:space="preserve">disease in NAFLD patients: NHANES 1999-2018.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262 (2024). </w:t>
      </w:r>
      <w:hyperlink r:id="rId4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https://doi.org/10.1186/s12933-024-02354-4</w:t>
        </w:r>
      </w:hyperlink>
    </w:p>
    <w:p w14:paraId="0D3E9634" w14:textId="2E11AE26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38</w:t>
      </w:r>
      <w:r w:rsidRPr="00E605F9">
        <w:rPr>
          <w:rFonts w:ascii="Times New Roman" w:hAnsi="Times New Roman" w:cs="Times New Roman" w:hint="default"/>
          <w:sz w:val="18"/>
        </w:rPr>
        <w:tab/>
        <w:t>Liang, D., Liu, C. &amp; Wang, Y. The association between triglyceride-glucose index and the likelihood of cardiovascular disease in the U.S. population of older adults aged ≥ 60</w:t>
      </w:r>
      <w:r w:rsidR="00BE1615"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sz w:val="18"/>
        </w:rPr>
        <w:t xml:space="preserve">years: a population-based study.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151 (2024). </w:t>
      </w:r>
      <w:hyperlink r:id="rId4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https://doi.org/10.1186/s12933-024-02248-5</w:t>
        </w:r>
      </w:hyperlink>
    </w:p>
    <w:p w14:paraId="3514EE3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39</w:t>
      </w:r>
      <w:r w:rsidRPr="00E605F9">
        <w:rPr>
          <w:rFonts w:ascii="Times New Roman" w:hAnsi="Times New Roman" w:cs="Times New Roman" w:hint="default"/>
          <w:sz w:val="18"/>
        </w:rPr>
        <w:tab/>
        <w:t>Zhang, G.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Atherosclerotic plaque vulnerability quantification system for clinical and biological interpretability. </w:t>
      </w:r>
      <w:r w:rsidRPr="00E605F9">
        <w:rPr>
          <w:rFonts w:ascii="Times New Roman" w:hAnsi="Times New Roman" w:cs="Times New Roman" w:hint="default"/>
          <w:i/>
          <w:sz w:val="18"/>
        </w:rPr>
        <w:t>iScience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26</w:t>
      </w:r>
      <w:r w:rsidRPr="00E605F9">
        <w:rPr>
          <w:rFonts w:ascii="Times New Roman" w:hAnsi="Times New Roman" w:cs="Times New Roman" w:hint="default"/>
          <w:sz w:val="18"/>
        </w:rPr>
        <w:t xml:space="preserve">, 107587 (2023). </w:t>
      </w:r>
      <w:hyperlink r:id="rId4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https://doi.org/10.1016/j.isci.2023.107587</w:t>
        </w:r>
      </w:hyperlink>
    </w:p>
    <w:p w14:paraId="7F032C4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40</w:t>
      </w:r>
      <w:r w:rsidRPr="00E605F9">
        <w:rPr>
          <w:rFonts w:ascii="Times New Roman" w:hAnsi="Times New Roman" w:cs="Times New Roman" w:hint="default"/>
          <w:sz w:val="18"/>
        </w:rPr>
        <w:tab/>
        <w:t>Xu, S.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Plasma Olink Proteomics Reveals Novel Biomarkers for Prediction and Diagnosis in Dilated Cardiomyopathy with Heart Failure. </w:t>
      </w:r>
      <w:r w:rsidRPr="00E605F9">
        <w:rPr>
          <w:rFonts w:ascii="Times New Roman" w:hAnsi="Times New Roman" w:cs="Times New Roman" w:hint="default"/>
          <w:i/>
          <w:sz w:val="18"/>
        </w:rPr>
        <w:t>J Proteome Res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4139–4150 (2024). </w:t>
      </w:r>
      <w:hyperlink r:id="rId4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https://doi.org/10.1021/acs.jproteome.4c00522</w:t>
        </w:r>
      </w:hyperlink>
    </w:p>
    <w:p w14:paraId="37C5EB58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41</w:t>
      </w:r>
      <w:r w:rsidRPr="00E605F9">
        <w:rPr>
          <w:rFonts w:ascii="Times New Roman" w:hAnsi="Times New Roman" w:cs="Times New Roman" w:hint="default"/>
          <w:sz w:val="18"/>
        </w:rPr>
        <w:tab/>
        <w:t>Zhang, G.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Uncovering the genetic links of SARS-CoV-2 infections on heart failure co-morbidity by a systems biology approach. </w:t>
      </w:r>
      <w:r w:rsidRPr="00E605F9">
        <w:rPr>
          <w:rFonts w:ascii="Times New Roman" w:hAnsi="Times New Roman" w:cs="Times New Roman" w:hint="default"/>
          <w:i/>
          <w:sz w:val="18"/>
        </w:rPr>
        <w:t>ESC Heart Fail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9</w:t>
      </w:r>
      <w:r w:rsidRPr="00E605F9">
        <w:rPr>
          <w:rFonts w:ascii="Times New Roman" w:hAnsi="Times New Roman" w:cs="Times New Roman" w:hint="default"/>
          <w:sz w:val="18"/>
        </w:rPr>
        <w:t xml:space="preserve">, 2937–2954 (2022). </w:t>
      </w:r>
      <w:hyperlink r:id="rId4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https://doi.org/10.1002/ehf2.14003</w:t>
        </w:r>
      </w:hyperlink>
    </w:p>
    <w:p w14:paraId="3EE2631D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42</w:t>
      </w:r>
      <w:r w:rsidRPr="00E605F9">
        <w:rPr>
          <w:rFonts w:ascii="Times New Roman" w:hAnsi="Times New Roman" w:cs="Times New Roman" w:hint="default"/>
          <w:sz w:val="18"/>
        </w:rPr>
        <w:tab/>
        <w:t>Zhang, G.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AI hybrid survival assessment for advanced heart failure patients with renal dysfunction. </w:t>
      </w:r>
      <w:r w:rsidRPr="00E605F9">
        <w:rPr>
          <w:rFonts w:ascii="Times New Roman" w:hAnsi="Times New Roman" w:cs="Times New Roman" w:hint="default"/>
          <w:i/>
          <w:sz w:val="18"/>
        </w:rPr>
        <w:t>Nat Commun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 xml:space="preserve">, 6756 (2024). </w:t>
      </w:r>
      <w:hyperlink r:id="rId4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https://doi.org/10.1038/s41467-024-50415-9</w:t>
        </w:r>
      </w:hyperlink>
    </w:p>
    <w:p w14:paraId="0E0128B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43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Yang, Q., Vijayakumar, A. &amp; Kahn, B. B. Metabolites as regulators of insulin sensitivity and metabolism. </w:t>
      </w:r>
      <w:r w:rsidRPr="00E605F9">
        <w:rPr>
          <w:rFonts w:ascii="Times New Roman" w:hAnsi="Times New Roman" w:cs="Times New Roman" w:hint="default"/>
          <w:i/>
          <w:sz w:val="18"/>
        </w:rPr>
        <w:t>Nat Rev Mol Cell Biol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19</w:t>
      </w:r>
      <w:r w:rsidRPr="00E605F9">
        <w:rPr>
          <w:rFonts w:ascii="Times New Roman" w:hAnsi="Times New Roman" w:cs="Times New Roman" w:hint="default"/>
          <w:sz w:val="18"/>
        </w:rPr>
        <w:t xml:space="preserve">, 654–672 (2018). </w:t>
      </w:r>
      <w:hyperlink r:id="rId4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https://doi.org/10.1038/s41580-018-0044-8</w:t>
        </w:r>
      </w:hyperlink>
    </w:p>
    <w:p w14:paraId="5D833AB6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44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Riehle, C. &amp; Abel, E. D. Insulin Signaling and Heart Failure. </w:t>
      </w:r>
      <w:r w:rsidRPr="00E605F9">
        <w:rPr>
          <w:rFonts w:ascii="Times New Roman" w:hAnsi="Times New Roman" w:cs="Times New Roman" w:hint="default"/>
          <w:i/>
          <w:sz w:val="18"/>
        </w:rPr>
        <w:t>Circ Res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118</w:t>
      </w:r>
      <w:r w:rsidRPr="00E605F9">
        <w:rPr>
          <w:rFonts w:ascii="Times New Roman" w:hAnsi="Times New Roman" w:cs="Times New Roman" w:hint="default"/>
          <w:sz w:val="18"/>
        </w:rPr>
        <w:t xml:space="preserve">, 1151–1169 (2016). </w:t>
      </w:r>
      <w:hyperlink r:id="rId4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https://doi.org/10.1161/circresaha.116.306206</w:t>
        </w:r>
      </w:hyperlink>
    </w:p>
    <w:p w14:paraId="0E70303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45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Williams, I. L., Wheatcroft, S. B., Shah, A. M. &amp; Kearney, M. T. Obesity, atherosclerosis and the vascular endothelium: mechanisms of reduced nitric oxide bioavailability in obese humans. </w:t>
      </w:r>
      <w:r w:rsidRPr="00E605F9">
        <w:rPr>
          <w:rFonts w:ascii="Times New Roman" w:hAnsi="Times New Roman" w:cs="Times New Roman" w:hint="default"/>
          <w:i/>
          <w:sz w:val="18"/>
        </w:rPr>
        <w:t>Int J Obes Relat Metab Disord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26</w:t>
      </w:r>
      <w:r w:rsidRPr="00E605F9">
        <w:rPr>
          <w:rFonts w:ascii="Times New Roman" w:hAnsi="Times New Roman" w:cs="Times New Roman" w:hint="default"/>
          <w:sz w:val="18"/>
        </w:rPr>
        <w:t xml:space="preserve">, 754–764 (2002). </w:t>
      </w:r>
      <w:hyperlink r:id="rId5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https://doi.org/10.1038/sj.ijo.0801995</w:t>
        </w:r>
      </w:hyperlink>
    </w:p>
    <w:p w14:paraId="00F738A8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46</w:t>
      </w:r>
      <w:r w:rsidRPr="00E605F9">
        <w:rPr>
          <w:rFonts w:ascii="Times New Roman" w:hAnsi="Times New Roman" w:cs="Times New Roman" w:hint="default"/>
          <w:sz w:val="18"/>
        </w:rPr>
        <w:tab/>
        <w:t>Abudukadier, A.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Tetrahydrobiopterin has a glucose-lowering effect by suppressing hepatic gluconeogenesis in an endothelial nitric oxide synthase-dependent manner in diabetic mice. </w:t>
      </w:r>
      <w:r w:rsidRPr="00E605F9">
        <w:rPr>
          <w:rFonts w:ascii="Times New Roman" w:hAnsi="Times New Roman" w:cs="Times New Roman" w:hint="default"/>
          <w:i/>
          <w:sz w:val="18"/>
        </w:rPr>
        <w:t>Diabetes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62</w:t>
      </w:r>
      <w:r w:rsidRPr="00E605F9">
        <w:rPr>
          <w:rFonts w:ascii="Times New Roman" w:hAnsi="Times New Roman" w:cs="Times New Roman" w:hint="default"/>
          <w:sz w:val="18"/>
        </w:rPr>
        <w:t xml:space="preserve">, 3033–3043 (2013). </w:t>
      </w:r>
      <w:hyperlink r:id="rId5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https://doi.org/10.2337/db12-1242</w:t>
        </w:r>
      </w:hyperlink>
    </w:p>
    <w:p w14:paraId="274523C1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47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Ignarro, L. J., Buga, G. M., Wood, K. S., Byrns, R. E. &amp; Chaudhuri, G. Endothelium-derived relaxing factor produced and released from artery and vein is nitric oxide. </w:t>
      </w:r>
      <w:r w:rsidRPr="00E605F9">
        <w:rPr>
          <w:rFonts w:ascii="Times New Roman" w:hAnsi="Times New Roman" w:cs="Times New Roman" w:hint="default"/>
          <w:i/>
          <w:sz w:val="18"/>
        </w:rPr>
        <w:t>Proc Natl Acad Sci U S A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84</w:t>
      </w:r>
      <w:r w:rsidRPr="00E605F9">
        <w:rPr>
          <w:rFonts w:ascii="Times New Roman" w:hAnsi="Times New Roman" w:cs="Times New Roman" w:hint="default"/>
          <w:sz w:val="18"/>
        </w:rPr>
        <w:t xml:space="preserve">, 9265–9269 (1987). </w:t>
      </w:r>
      <w:hyperlink r:id="rId5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https://doi.org/10.1073/pnas.84.24.9265</w:t>
        </w:r>
      </w:hyperlink>
    </w:p>
    <w:p w14:paraId="227968BA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48</w:t>
      </w:r>
      <w:r w:rsidRPr="00E605F9">
        <w:rPr>
          <w:rFonts w:ascii="Times New Roman" w:hAnsi="Times New Roman" w:cs="Times New Roman" w:hint="default"/>
          <w:sz w:val="18"/>
        </w:rPr>
        <w:tab/>
        <w:t>Duplain, H.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Insulin resistance, hyperlipidemia, and hypertension in mice lacking endothelial nitric oxide synthase. </w:t>
      </w:r>
      <w:r w:rsidRPr="00E605F9">
        <w:rPr>
          <w:rFonts w:ascii="Times New Roman" w:hAnsi="Times New Roman" w:cs="Times New Roman" w:hint="default"/>
          <w:i/>
          <w:sz w:val="18"/>
        </w:rPr>
        <w:t>Circulation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104</w:t>
      </w:r>
      <w:r w:rsidRPr="00E605F9">
        <w:rPr>
          <w:rFonts w:ascii="Times New Roman" w:hAnsi="Times New Roman" w:cs="Times New Roman" w:hint="default"/>
          <w:sz w:val="18"/>
        </w:rPr>
        <w:t xml:space="preserve">, 342–345 (2001). </w:t>
      </w:r>
      <w:hyperlink r:id="rId5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https://doi.org/10.1161/01.cir.104.3.342</w:t>
        </w:r>
      </w:hyperlink>
    </w:p>
    <w:p w14:paraId="26B35CB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49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Wild, S., Roglic, G., Green, A., Sicree, R. &amp; King, H. Global prevalence of diabetes: estimates for the year 2000 and projections for 2030. </w:t>
      </w:r>
      <w:r w:rsidRPr="00E605F9">
        <w:rPr>
          <w:rFonts w:ascii="Times New Roman" w:hAnsi="Times New Roman" w:cs="Times New Roman" w:hint="default"/>
          <w:i/>
          <w:sz w:val="18"/>
        </w:rPr>
        <w:t>Diabetes Care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27</w:t>
      </w:r>
      <w:r w:rsidRPr="00E605F9">
        <w:rPr>
          <w:rFonts w:ascii="Times New Roman" w:hAnsi="Times New Roman" w:cs="Times New Roman" w:hint="default"/>
          <w:sz w:val="18"/>
        </w:rPr>
        <w:t xml:space="preserve">, 1047–1053 (2004). </w:t>
      </w:r>
      <w:hyperlink r:id="rId5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https://doi.org/10.2337/diacare.27.5.1047</w:t>
        </w:r>
      </w:hyperlink>
    </w:p>
    <w:p w14:paraId="6CF20B66" w14:textId="77777777" w:rsidR="00403579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50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Yip, J., Facchini, F. S. &amp; Reaven, G. M. Resistance to insulin-mediated glucose disposal as a predictor of cardiovascular disease. </w:t>
      </w:r>
      <w:r w:rsidRPr="00E605F9">
        <w:rPr>
          <w:rFonts w:ascii="Times New Roman" w:hAnsi="Times New Roman" w:cs="Times New Roman" w:hint="default"/>
          <w:i/>
          <w:sz w:val="18"/>
        </w:rPr>
        <w:t>The Journal of Clinical Endocrinology &amp; Metabolism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83</w:t>
      </w:r>
      <w:r w:rsidRPr="00E605F9">
        <w:rPr>
          <w:rFonts w:ascii="Times New Roman" w:hAnsi="Times New Roman" w:cs="Times New Roman" w:hint="default"/>
          <w:sz w:val="18"/>
        </w:rPr>
        <w:t>, 2773–2776 (1998).</w:t>
      </w:r>
    </w:p>
    <w:p w14:paraId="173A8ADD" w14:textId="77777777" w:rsidR="00403579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51</w:t>
      </w:r>
      <w:r w:rsidRPr="00E605F9">
        <w:rPr>
          <w:rFonts w:ascii="Times New Roman" w:hAnsi="Times New Roman" w:cs="Times New Roman" w:hint="default"/>
          <w:sz w:val="18"/>
        </w:rPr>
        <w:tab/>
        <w:t>Jeon, J. Y.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Prevalence of diabetes and prediabetes according to fasting plasma glucose and HbA1c. </w:t>
      </w:r>
      <w:r w:rsidRPr="00E605F9">
        <w:rPr>
          <w:rFonts w:ascii="Times New Roman" w:hAnsi="Times New Roman" w:cs="Times New Roman" w:hint="default"/>
          <w:i/>
          <w:sz w:val="18"/>
        </w:rPr>
        <w:t>Diabetes &amp; metabolism journal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37</w:t>
      </w:r>
      <w:r w:rsidRPr="00E605F9">
        <w:rPr>
          <w:rFonts w:ascii="Times New Roman" w:hAnsi="Times New Roman" w:cs="Times New Roman" w:hint="default"/>
          <w:sz w:val="18"/>
        </w:rPr>
        <w:t>, 349 (2013).</w:t>
      </w:r>
    </w:p>
    <w:p w14:paraId="5BE86F5C" w14:textId="1CAC40B1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52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DeFronzo, R. A. &amp; Ferrannini, E. Insulin resistance. A multifaceted syndrome responsible for NIDDM, obesity, hypertension, dyslipidemia, and atherosclerotic cardiovascular disease. </w:t>
      </w:r>
      <w:r w:rsidRPr="00E605F9">
        <w:rPr>
          <w:rFonts w:ascii="Times New Roman" w:hAnsi="Times New Roman" w:cs="Times New Roman" w:hint="default"/>
          <w:i/>
          <w:sz w:val="18"/>
        </w:rPr>
        <w:t>Diabetes Care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14</w:t>
      </w:r>
      <w:r w:rsidRPr="00E605F9">
        <w:rPr>
          <w:rFonts w:ascii="Times New Roman" w:hAnsi="Times New Roman" w:cs="Times New Roman" w:hint="default"/>
          <w:sz w:val="18"/>
        </w:rPr>
        <w:t xml:space="preserve">, 173–194 (1991). </w:t>
      </w:r>
      <w:hyperlink r:id="rId5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https://doi.org/10.2337/diacare.14.3.173</w:t>
        </w:r>
      </w:hyperlink>
    </w:p>
    <w:p w14:paraId="7F04F55C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53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Solinas, G. &amp; Karin, M. JNK1 and IKKbeta: molecular links between obesity and metabolic dysfunction. </w:t>
      </w:r>
      <w:r w:rsidRPr="00E605F9">
        <w:rPr>
          <w:rFonts w:ascii="Times New Roman" w:hAnsi="Times New Roman" w:cs="Times New Roman" w:hint="default"/>
          <w:i/>
          <w:sz w:val="18"/>
        </w:rPr>
        <w:t>Faseb j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24</w:t>
      </w:r>
      <w:r w:rsidRPr="00E605F9">
        <w:rPr>
          <w:rFonts w:ascii="Times New Roman" w:hAnsi="Times New Roman" w:cs="Times New Roman" w:hint="default"/>
          <w:sz w:val="18"/>
        </w:rPr>
        <w:t xml:space="preserve">, 2596–2611 (2010). </w:t>
      </w:r>
      <w:hyperlink r:id="rId5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https://doi.org/10.1096/fj.09-151340</w:t>
        </w:r>
      </w:hyperlink>
    </w:p>
    <w:p w14:paraId="7C45BB8F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54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Krause, M., Ludwig, M. S., Heck, T. G. &amp; Takahashi, H. K. Heat shock proteins and heat therapy for type 2 diabetes: pros and cons. </w:t>
      </w:r>
      <w:r w:rsidRPr="00E605F9">
        <w:rPr>
          <w:rFonts w:ascii="Times New Roman" w:hAnsi="Times New Roman" w:cs="Times New Roman" w:hint="default"/>
          <w:i/>
          <w:sz w:val="18"/>
        </w:rPr>
        <w:t>Curr Opin Clin Nutr Metab Care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18</w:t>
      </w:r>
      <w:r w:rsidRPr="00E605F9">
        <w:rPr>
          <w:rFonts w:ascii="Times New Roman" w:hAnsi="Times New Roman" w:cs="Times New Roman" w:hint="default"/>
          <w:sz w:val="18"/>
        </w:rPr>
        <w:t xml:space="preserve">, 374–380 (2015). </w:t>
      </w:r>
      <w:hyperlink r:id="rId5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https://doi.org/10.1097/mco.0000000000000183</w:t>
        </w:r>
      </w:hyperlink>
    </w:p>
    <w:p w14:paraId="1A3967F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55</w:t>
      </w:r>
      <w:r w:rsidRPr="00E605F9">
        <w:rPr>
          <w:rFonts w:ascii="Times New Roman" w:hAnsi="Times New Roman" w:cs="Times New Roman" w:hint="default"/>
          <w:sz w:val="18"/>
        </w:rPr>
        <w:tab/>
        <w:t>Befroy, D. E.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Impaired mitochondrial substrate oxidation in muscle of insulin-resistant offspring of type 2 diabetic patients. </w:t>
      </w:r>
      <w:r w:rsidRPr="00E605F9">
        <w:rPr>
          <w:rFonts w:ascii="Times New Roman" w:hAnsi="Times New Roman" w:cs="Times New Roman" w:hint="default"/>
          <w:i/>
          <w:sz w:val="18"/>
        </w:rPr>
        <w:t>Diabetes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56</w:t>
      </w:r>
      <w:r w:rsidRPr="00E605F9">
        <w:rPr>
          <w:rFonts w:ascii="Times New Roman" w:hAnsi="Times New Roman" w:cs="Times New Roman" w:hint="default"/>
          <w:sz w:val="18"/>
        </w:rPr>
        <w:t xml:space="preserve">, 1376–1381 (2007). </w:t>
      </w:r>
      <w:hyperlink r:id="rId5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https://doi.org/10.2337/db06-0783</w:t>
        </w:r>
      </w:hyperlink>
    </w:p>
    <w:p w14:paraId="33D56431" w14:textId="77777777" w:rsidR="00403579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lastRenderedPageBreak/>
        <w:t>56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Kim, J.-a., Wei, Y. &amp; Sowers, J. R. Role of mitochondrial dysfunction in insulin resistance. </w:t>
      </w:r>
      <w:r w:rsidRPr="00E605F9">
        <w:rPr>
          <w:rFonts w:ascii="Times New Roman" w:hAnsi="Times New Roman" w:cs="Times New Roman" w:hint="default"/>
          <w:i/>
          <w:sz w:val="18"/>
        </w:rPr>
        <w:t>Circulation research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102</w:t>
      </w:r>
      <w:r w:rsidRPr="00E605F9">
        <w:rPr>
          <w:rFonts w:ascii="Times New Roman" w:hAnsi="Times New Roman" w:cs="Times New Roman" w:hint="default"/>
          <w:sz w:val="18"/>
        </w:rPr>
        <w:t>, 401–414 (2008).</w:t>
      </w:r>
    </w:p>
    <w:p w14:paraId="115BEBA0" w14:textId="3BEDFB7B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57</w:t>
      </w:r>
      <w:r w:rsidRPr="00E605F9">
        <w:rPr>
          <w:rFonts w:ascii="Times New Roman" w:hAnsi="Times New Roman" w:cs="Times New Roman" w:hint="default"/>
          <w:sz w:val="18"/>
        </w:rPr>
        <w:tab/>
        <w:t>Nishikawa, T.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Impact of mitochondrial ROS production in the pathogenesis of insulin resistance. </w:t>
      </w:r>
      <w:r w:rsidRPr="00E605F9">
        <w:rPr>
          <w:rFonts w:ascii="Times New Roman" w:hAnsi="Times New Roman" w:cs="Times New Roman" w:hint="default"/>
          <w:i/>
          <w:sz w:val="18"/>
        </w:rPr>
        <w:t>Diabetes Res Clin Pract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77 Suppl 1</w:t>
      </w:r>
      <w:r w:rsidRPr="00E605F9">
        <w:rPr>
          <w:rFonts w:ascii="Times New Roman" w:hAnsi="Times New Roman" w:cs="Times New Roman" w:hint="default"/>
          <w:sz w:val="18"/>
        </w:rPr>
        <w:t xml:space="preserve">, S161–164 (2007). </w:t>
      </w:r>
      <w:hyperlink r:id="rId5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https://doi.org/10.1016/j.diabres.2007.01.071</w:t>
        </w:r>
      </w:hyperlink>
    </w:p>
    <w:p w14:paraId="0E6B0C7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58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Murphy, M. P. Induction of mitochondrial ROS production by electrophilic lipids: a new pathway of redox signaling? </w:t>
      </w:r>
      <w:r w:rsidRPr="00E605F9">
        <w:rPr>
          <w:rFonts w:ascii="Times New Roman" w:hAnsi="Times New Roman" w:cs="Times New Roman" w:hint="default"/>
          <w:i/>
          <w:sz w:val="18"/>
        </w:rPr>
        <w:t>Am J Physiol Heart Circ Physiol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290</w:t>
      </w:r>
      <w:r w:rsidRPr="00E605F9">
        <w:rPr>
          <w:rFonts w:ascii="Times New Roman" w:hAnsi="Times New Roman" w:cs="Times New Roman" w:hint="default"/>
          <w:sz w:val="18"/>
        </w:rPr>
        <w:t xml:space="preserve">, H1754–1755 (2006). </w:t>
      </w:r>
      <w:hyperlink r:id="rId6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https://doi.org/10.1152/ajpheart.00040.2006</w:t>
        </w:r>
      </w:hyperlink>
    </w:p>
    <w:p w14:paraId="3BC981E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59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Gerrits, A. J., Koekman, C. A., van Haeften, T. W. &amp; Akkerman, J. W. Platelet tissue factor synthesis in type 2 diabetic patients is resistant to inhibition by insulin. </w:t>
      </w:r>
      <w:r w:rsidRPr="00E605F9">
        <w:rPr>
          <w:rFonts w:ascii="Times New Roman" w:hAnsi="Times New Roman" w:cs="Times New Roman" w:hint="default"/>
          <w:i/>
          <w:sz w:val="18"/>
        </w:rPr>
        <w:t>Diabetes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59</w:t>
      </w:r>
      <w:r w:rsidRPr="00E605F9">
        <w:rPr>
          <w:rFonts w:ascii="Times New Roman" w:hAnsi="Times New Roman" w:cs="Times New Roman" w:hint="default"/>
          <w:sz w:val="18"/>
        </w:rPr>
        <w:t xml:space="preserve">, 1487–1495 (2010). </w:t>
      </w:r>
      <w:hyperlink r:id="rId6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https://doi.org/10.2337/db09-1008</w:t>
        </w:r>
      </w:hyperlink>
    </w:p>
    <w:p w14:paraId="3C88500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60</w:t>
      </w:r>
      <w:r w:rsidRPr="00E605F9">
        <w:rPr>
          <w:rFonts w:ascii="Times New Roman" w:hAnsi="Times New Roman" w:cs="Times New Roman" w:hint="default"/>
          <w:sz w:val="18"/>
        </w:rPr>
        <w:tab/>
        <w:t>Che, B.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Triglyceride-glucose index and triglyceride to high-density lipoprotein cholesterol ratio as potential cardiovascular disease risk factors: an analysis of UK biobank data.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22</w:t>
      </w:r>
      <w:r w:rsidRPr="00E605F9">
        <w:rPr>
          <w:rFonts w:ascii="Times New Roman" w:hAnsi="Times New Roman" w:cs="Times New Roman" w:hint="default"/>
          <w:sz w:val="18"/>
        </w:rPr>
        <w:t xml:space="preserve">, 34 (2023). </w:t>
      </w:r>
      <w:hyperlink r:id="rId6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https://doi.org/10.1186/s12933-023-01762-2</w:t>
        </w:r>
      </w:hyperlink>
    </w:p>
    <w:p w14:paraId="54722A3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61</w:t>
      </w:r>
      <w:r w:rsidRPr="00E605F9">
        <w:rPr>
          <w:rFonts w:ascii="Times New Roman" w:hAnsi="Times New Roman" w:cs="Times New Roman" w:hint="default"/>
          <w:sz w:val="18"/>
        </w:rPr>
        <w:tab/>
        <w:t>Li, F.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Association between the cumulative average triglyceride glucose-body mass index and cardiovascular disease incidence among the middle-aged and older population: a prospective nationwide cohort study in China.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16 (2024). </w:t>
      </w:r>
      <w:hyperlink r:id="rId6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https://doi.org/10.1186/s12933-023-02114-w</w:t>
        </w:r>
      </w:hyperlink>
    </w:p>
    <w:p w14:paraId="3AC9DFB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62</w:t>
      </w:r>
      <w:r w:rsidRPr="00E605F9">
        <w:rPr>
          <w:rFonts w:ascii="Times New Roman" w:hAnsi="Times New Roman" w:cs="Times New Roman" w:hint="default"/>
          <w:sz w:val="18"/>
        </w:rPr>
        <w:tab/>
        <w:t>Dang, K.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The association between triglyceride-glucose index and its combination with obesity indicators and cardiovascular disease: NHANES 2003-2018.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8 (2024). </w:t>
      </w:r>
      <w:hyperlink r:id="rId6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https://doi.org/10.1186/s12933-023-02115-9</w:t>
        </w:r>
      </w:hyperlink>
    </w:p>
    <w:p w14:paraId="6D9731C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63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Zhang, Q., Xiao, S., Jiao, X. &amp; Shen, Y. The triglyceride-glucose index is a predictor for cardiovascular and all-cause mortality in CVD patients with diabetes or pre-diabetes: evidence from NHANES 2001-2018.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22</w:t>
      </w:r>
      <w:r w:rsidRPr="00E605F9">
        <w:rPr>
          <w:rFonts w:ascii="Times New Roman" w:hAnsi="Times New Roman" w:cs="Times New Roman" w:hint="default"/>
          <w:sz w:val="18"/>
        </w:rPr>
        <w:t xml:space="preserve">, 279 (2023). </w:t>
      </w:r>
      <w:hyperlink r:id="rId6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https://doi.org/10.1186/s12933-023-02030-z</w:t>
        </w:r>
      </w:hyperlink>
    </w:p>
    <w:p w14:paraId="5C5CE2F9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64</w:t>
      </w:r>
      <w:r w:rsidRPr="00E605F9">
        <w:rPr>
          <w:rFonts w:ascii="Times New Roman" w:hAnsi="Times New Roman" w:cs="Times New Roman" w:hint="default"/>
          <w:sz w:val="18"/>
        </w:rPr>
        <w:tab/>
        <w:t>Shi, H.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TLR4 links innate immunity and fatty acid-induced insulin resistance. </w:t>
      </w:r>
      <w:r w:rsidRPr="00E605F9">
        <w:rPr>
          <w:rFonts w:ascii="Times New Roman" w:hAnsi="Times New Roman" w:cs="Times New Roman" w:hint="default"/>
          <w:i/>
          <w:sz w:val="18"/>
        </w:rPr>
        <w:t>J Clin Invest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116</w:t>
      </w:r>
      <w:r w:rsidRPr="00E605F9">
        <w:rPr>
          <w:rFonts w:ascii="Times New Roman" w:hAnsi="Times New Roman" w:cs="Times New Roman" w:hint="default"/>
          <w:sz w:val="18"/>
        </w:rPr>
        <w:t xml:space="preserve">, 3015–3025 (2006). </w:t>
      </w:r>
      <w:hyperlink r:id="rId6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https://doi.org/10.1172/jci28898</w:t>
        </w:r>
      </w:hyperlink>
    </w:p>
    <w:p w14:paraId="727C624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65</w:t>
      </w:r>
      <w:r w:rsidRPr="00E605F9">
        <w:rPr>
          <w:rFonts w:ascii="Times New Roman" w:hAnsi="Times New Roman" w:cs="Times New Roman" w:hint="default"/>
          <w:sz w:val="18"/>
        </w:rPr>
        <w:tab/>
        <w:t>Suganami, T.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Attenuation of obesity-induced adipose tissue inflammation in C3H/HeJ mice carrying a Toll-like receptor 4 mutation. </w:t>
      </w:r>
      <w:r w:rsidRPr="00E605F9">
        <w:rPr>
          <w:rFonts w:ascii="Times New Roman" w:hAnsi="Times New Roman" w:cs="Times New Roman" w:hint="default"/>
          <w:i/>
          <w:sz w:val="18"/>
        </w:rPr>
        <w:t>Biochem Biophys Res Commun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354</w:t>
      </w:r>
      <w:r w:rsidRPr="00E605F9">
        <w:rPr>
          <w:rFonts w:ascii="Times New Roman" w:hAnsi="Times New Roman" w:cs="Times New Roman" w:hint="default"/>
          <w:sz w:val="18"/>
        </w:rPr>
        <w:t xml:space="preserve">, 45–49 (2007). </w:t>
      </w:r>
      <w:hyperlink r:id="rId6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https://doi.org/10.1016/j.bbrc.2006.12.190</w:t>
        </w:r>
      </w:hyperlink>
    </w:p>
    <w:p w14:paraId="28D2B58D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66</w:t>
      </w:r>
      <w:r w:rsidRPr="00E605F9">
        <w:rPr>
          <w:rFonts w:ascii="Times New Roman" w:hAnsi="Times New Roman" w:cs="Times New Roman" w:hint="default"/>
          <w:sz w:val="18"/>
        </w:rPr>
        <w:tab/>
        <w:t>Poggi, M.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C3H/HeJ mice carrying a toll-like receptor 4 mutation are protected against the development of insulin resistance in white adipose tissue in response to a high-fat diet. </w:t>
      </w:r>
      <w:r w:rsidRPr="00E605F9">
        <w:rPr>
          <w:rFonts w:ascii="Times New Roman" w:hAnsi="Times New Roman" w:cs="Times New Roman" w:hint="default"/>
          <w:i/>
          <w:sz w:val="18"/>
        </w:rPr>
        <w:t>Diabetologia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50</w:t>
      </w:r>
      <w:r w:rsidRPr="00E605F9">
        <w:rPr>
          <w:rFonts w:ascii="Times New Roman" w:hAnsi="Times New Roman" w:cs="Times New Roman" w:hint="default"/>
          <w:sz w:val="18"/>
        </w:rPr>
        <w:t xml:space="preserve">, 1267–1276 (2007). </w:t>
      </w:r>
      <w:hyperlink r:id="rId6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https://doi.org/10.1007/s00125-007-0654-8</w:t>
        </w:r>
      </w:hyperlink>
    </w:p>
    <w:p w14:paraId="368BBCF6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67</w:t>
      </w:r>
      <w:r w:rsidRPr="00E605F9">
        <w:rPr>
          <w:rFonts w:ascii="Times New Roman" w:hAnsi="Times New Roman" w:cs="Times New Roman" w:hint="default"/>
          <w:sz w:val="18"/>
        </w:rPr>
        <w:tab/>
        <w:t>Kim, F.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Toll-like receptor-4 mediates vascular inflammation and insulin resistance in diet-induced obesity. </w:t>
      </w:r>
      <w:r w:rsidRPr="00E605F9">
        <w:rPr>
          <w:rFonts w:ascii="Times New Roman" w:hAnsi="Times New Roman" w:cs="Times New Roman" w:hint="default"/>
          <w:i/>
          <w:sz w:val="18"/>
        </w:rPr>
        <w:t>Circ Res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100</w:t>
      </w:r>
      <w:r w:rsidRPr="00E605F9">
        <w:rPr>
          <w:rFonts w:ascii="Times New Roman" w:hAnsi="Times New Roman" w:cs="Times New Roman" w:hint="default"/>
          <w:sz w:val="18"/>
        </w:rPr>
        <w:t xml:space="preserve">, 1589–1596 (2007). </w:t>
      </w:r>
      <w:hyperlink r:id="rId6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https://doi.org/10.1161/circresaha.106.142851</w:t>
        </w:r>
      </w:hyperlink>
    </w:p>
    <w:p w14:paraId="29DD01EF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68</w:t>
      </w:r>
      <w:r w:rsidRPr="00E605F9">
        <w:rPr>
          <w:rFonts w:ascii="Times New Roman" w:hAnsi="Times New Roman" w:cs="Times New Roman" w:hint="default"/>
          <w:sz w:val="18"/>
        </w:rPr>
        <w:tab/>
        <w:t>Zhao, M.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HIF-1alpha/JMJD1A signaling regulates inflammation and oxidative stress following hyperglycemia and hypoxia-induced vascular cell injury. </w:t>
      </w:r>
      <w:r w:rsidRPr="00E605F9">
        <w:rPr>
          <w:rFonts w:ascii="Times New Roman" w:hAnsi="Times New Roman" w:cs="Times New Roman" w:hint="default"/>
          <w:i/>
          <w:sz w:val="18"/>
        </w:rPr>
        <w:t>Cell Mol Biol Lett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26</w:t>
      </w:r>
      <w:r w:rsidRPr="00E605F9">
        <w:rPr>
          <w:rFonts w:ascii="Times New Roman" w:hAnsi="Times New Roman" w:cs="Times New Roman" w:hint="default"/>
          <w:sz w:val="18"/>
        </w:rPr>
        <w:t xml:space="preserve">, 40 (2021). </w:t>
      </w:r>
      <w:hyperlink r:id="rId7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https://doi.org/10.1186/s11658-021-00283-8</w:t>
        </w:r>
      </w:hyperlink>
    </w:p>
    <w:p w14:paraId="1E9FFC2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69</w:t>
      </w:r>
      <w:r w:rsidRPr="00E605F9">
        <w:rPr>
          <w:rFonts w:ascii="Times New Roman" w:hAnsi="Times New Roman" w:cs="Times New Roman" w:hint="default"/>
          <w:sz w:val="18"/>
        </w:rPr>
        <w:tab/>
        <w:t>Duan, M.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Metabolic score for insulin resistance (METS-IR) predicts all-cause and cardiovascular mortality in the general population: evidence from NHANES 2001-2018. </w:t>
      </w:r>
      <w:r w:rsidRPr="00E605F9">
        <w:rPr>
          <w:rFonts w:ascii="Times New Roman" w:hAnsi="Times New Roman" w:cs="Times New Roman" w:hint="default"/>
          <w:i/>
          <w:sz w:val="18"/>
        </w:rPr>
        <w:t>Cardiovasc Diabetol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23</w:t>
      </w:r>
      <w:r w:rsidRPr="00E605F9">
        <w:rPr>
          <w:rFonts w:ascii="Times New Roman" w:hAnsi="Times New Roman" w:cs="Times New Roman" w:hint="default"/>
          <w:sz w:val="18"/>
        </w:rPr>
        <w:t xml:space="preserve">, 243 (2024). </w:t>
      </w:r>
      <w:hyperlink r:id="rId7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https://doi.org/10.1186/s12933-024-02334-8</w:t>
        </w:r>
      </w:hyperlink>
    </w:p>
    <w:p w14:paraId="7A982A58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70</w:t>
      </w:r>
      <w:r w:rsidRPr="00E605F9">
        <w:rPr>
          <w:rFonts w:ascii="Times New Roman" w:hAnsi="Times New Roman" w:cs="Times New Roman" w:hint="default"/>
          <w:sz w:val="18"/>
        </w:rPr>
        <w:tab/>
        <w:t>Zhou, X.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Causal Links Between Renal Function and Cardiac Structure, Function, and Disease Risk. </w:t>
      </w:r>
      <w:r w:rsidRPr="00E605F9">
        <w:rPr>
          <w:rFonts w:ascii="Times New Roman" w:hAnsi="Times New Roman" w:cs="Times New Roman" w:hint="default"/>
          <w:i/>
          <w:sz w:val="18"/>
        </w:rPr>
        <w:t>Glob Heart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19</w:t>
      </w:r>
      <w:r w:rsidRPr="00E605F9">
        <w:rPr>
          <w:rFonts w:ascii="Times New Roman" w:hAnsi="Times New Roman" w:cs="Times New Roman" w:hint="default"/>
          <w:sz w:val="18"/>
        </w:rPr>
        <w:t xml:space="preserve">, 83 (2024). </w:t>
      </w:r>
      <w:hyperlink r:id="rId7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https://doi.org/10.5334/gh.1366</w:t>
        </w:r>
      </w:hyperlink>
    </w:p>
    <w:p w14:paraId="3A9D603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71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Suman, S., Pravalika, J., Manjula, P. &amp; Farooq, U. Gender and CVD- Does It Really Matters? </w:t>
      </w:r>
      <w:r w:rsidRPr="00E605F9">
        <w:rPr>
          <w:rFonts w:ascii="Times New Roman" w:hAnsi="Times New Roman" w:cs="Times New Roman" w:hint="default"/>
          <w:i/>
          <w:sz w:val="18"/>
        </w:rPr>
        <w:t>Curr Probl Cardiol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48</w:t>
      </w:r>
      <w:r w:rsidRPr="00E605F9">
        <w:rPr>
          <w:rFonts w:ascii="Times New Roman" w:hAnsi="Times New Roman" w:cs="Times New Roman" w:hint="default"/>
          <w:sz w:val="18"/>
        </w:rPr>
        <w:t xml:space="preserve">, 101604 (2023). </w:t>
      </w:r>
      <w:hyperlink r:id="rId73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https://doi.org/10.1016/j.cpcardiol.2023.101604</w:t>
        </w:r>
      </w:hyperlink>
    </w:p>
    <w:p w14:paraId="427FF2C5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72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Egan, K. J., Knutson, K. L., Pereira, A. C. &amp; von Schantz, M. The role of race and ethnicity in sleep, circadian rhythms and cardiovascular health. </w:t>
      </w:r>
      <w:r w:rsidRPr="00E605F9">
        <w:rPr>
          <w:rFonts w:ascii="Times New Roman" w:hAnsi="Times New Roman" w:cs="Times New Roman" w:hint="default"/>
          <w:i/>
          <w:sz w:val="18"/>
        </w:rPr>
        <w:t>Sleep Med Rev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33</w:t>
      </w:r>
      <w:r w:rsidRPr="00E605F9">
        <w:rPr>
          <w:rFonts w:ascii="Times New Roman" w:hAnsi="Times New Roman" w:cs="Times New Roman" w:hint="default"/>
          <w:sz w:val="18"/>
        </w:rPr>
        <w:t xml:space="preserve">, 70–78 (2017). </w:t>
      </w:r>
      <w:hyperlink r:id="rId74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https://doi.org/10.1016/j.smrv.2016.05.004</w:t>
        </w:r>
      </w:hyperlink>
    </w:p>
    <w:p w14:paraId="41914788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73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Zhao, D., Liu, J., Wang, M., Zhang, X. &amp; Zhou, M. Epidemiology of cardiovascular disease in China: current features and implications. </w:t>
      </w:r>
      <w:r w:rsidRPr="00E605F9">
        <w:rPr>
          <w:rFonts w:ascii="Times New Roman" w:hAnsi="Times New Roman" w:cs="Times New Roman" w:hint="default"/>
          <w:i/>
          <w:sz w:val="18"/>
        </w:rPr>
        <w:t>Nat Rev Cardiol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16</w:t>
      </w:r>
      <w:r w:rsidRPr="00E605F9">
        <w:rPr>
          <w:rFonts w:ascii="Times New Roman" w:hAnsi="Times New Roman" w:cs="Times New Roman" w:hint="default"/>
          <w:sz w:val="18"/>
        </w:rPr>
        <w:t xml:space="preserve">, 203–212 (2019). </w:t>
      </w:r>
      <w:hyperlink r:id="rId75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https://doi.org/10.1038/s41569-018-0119-4</w:t>
        </w:r>
      </w:hyperlink>
    </w:p>
    <w:p w14:paraId="7D720FAF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74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Jankowski, J., Floege, J., Fliser, D., Böhm, M. &amp; Marx, N. Cardiovascular Disease in Chronic Kidney Disease: </w:t>
      </w:r>
      <w:r w:rsidRPr="00E605F9">
        <w:rPr>
          <w:rFonts w:ascii="Times New Roman" w:hAnsi="Times New Roman" w:cs="Times New Roman" w:hint="default"/>
          <w:sz w:val="18"/>
        </w:rPr>
        <w:lastRenderedPageBreak/>
        <w:t xml:space="preserve">Pathophysiological Insights and Therapeutic Options. </w:t>
      </w:r>
      <w:r w:rsidRPr="00E605F9">
        <w:rPr>
          <w:rFonts w:ascii="Times New Roman" w:hAnsi="Times New Roman" w:cs="Times New Roman" w:hint="default"/>
          <w:i/>
          <w:sz w:val="18"/>
        </w:rPr>
        <w:t>Circulation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143</w:t>
      </w:r>
      <w:r w:rsidRPr="00E605F9">
        <w:rPr>
          <w:rFonts w:ascii="Times New Roman" w:hAnsi="Times New Roman" w:cs="Times New Roman" w:hint="default"/>
          <w:sz w:val="18"/>
        </w:rPr>
        <w:t xml:space="preserve">, 1157–1172 (2021). </w:t>
      </w:r>
      <w:hyperlink r:id="rId76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https://doi.org/10.1161/circulationaha.120.050686</w:t>
        </w:r>
      </w:hyperlink>
    </w:p>
    <w:p w14:paraId="1BD0A044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75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Guérin, A. P., London, G. M., Marchais, S. J. &amp; Metivier, F. Arterial stiffening and vascular calcifications in end-stage renal disease. </w:t>
      </w:r>
      <w:r w:rsidRPr="00E605F9">
        <w:rPr>
          <w:rFonts w:ascii="Times New Roman" w:hAnsi="Times New Roman" w:cs="Times New Roman" w:hint="default"/>
          <w:i/>
          <w:sz w:val="18"/>
        </w:rPr>
        <w:t>Nephrol Dial Transplant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15</w:t>
      </w:r>
      <w:r w:rsidRPr="00E605F9">
        <w:rPr>
          <w:rFonts w:ascii="Times New Roman" w:hAnsi="Times New Roman" w:cs="Times New Roman" w:hint="default"/>
          <w:sz w:val="18"/>
        </w:rPr>
        <w:t xml:space="preserve">, 1014–1021 (2000). </w:t>
      </w:r>
      <w:hyperlink r:id="rId77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https://doi.org/10.1093/ndt/15.7.1014</w:t>
        </w:r>
      </w:hyperlink>
    </w:p>
    <w:p w14:paraId="2DA11590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76</w:t>
      </w:r>
      <w:r w:rsidRPr="00E605F9">
        <w:rPr>
          <w:rFonts w:ascii="Times New Roman" w:hAnsi="Times New Roman" w:cs="Times New Roman" w:hint="default"/>
          <w:sz w:val="18"/>
        </w:rPr>
        <w:tab/>
        <w:t>Zoccali, C.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The systemic nature of CKD. </w:t>
      </w:r>
      <w:r w:rsidRPr="00E605F9">
        <w:rPr>
          <w:rFonts w:ascii="Times New Roman" w:hAnsi="Times New Roman" w:cs="Times New Roman" w:hint="default"/>
          <w:i/>
          <w:sz w:val="18"/>
        </w:rPr>
        <w:t>Nat Rev Nephrol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13</w:t>
      </w:r>
      <w:r w:rsidRPr="00E605F9">
        <w:rPr>
          <w:rFonts w:ascii="Times New Roman" w:hAnsi="Times New Roman" w:cs="Times New Roman" w:hint="default"/>
          <w:sz w:val="18"/>
        </w:rPr>
        <w:t xml:space="preserve">, 344–358 (2017). </w:t>
      </w:r>
      <w:hyperlink r:id="rId78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https://doi.org/10.1038/nrneph.2017.52</w:t>
        </w:r>
      </w:hyperlink>
    </w:p>
    <w:p w14:paraId="17C50C62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77</w:t>
      </w:r>
      <w:r w:rsidRPr="00E605F9">
        <w:rPr>
          <w:rFonts w:ascii="Times New Roman" w:hAnsi="Times New Roman" w:cs="Times New Roman" w:hint="default"/>
          <w:sz w:val="18"/>
        </w:rPr>
        <w:tab/>
        <w:t>Alhaj, E.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Uremic cardiomyopathy: an underdiagnosed disease. </w:t>
      </w:r>
      <w:r w:rsidRPr="00E605F9">
        <w:rPr>
          <w:rFonts w:ascii="Times New Roman" w:hAnsi="Times New Roman" w:cs="Times New Roman" w:hint="default"/>
          <w:i/>
          <w:sz w:val="18"/>
        </w:rPr>
        <w:t>Congest Heart Fail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19</w:t>
      </w:r>
      <w:r w:rsidRPr="00E605F9">
        <w:rPr>
          <w:rFonts w:ascii="Times New Roman" w:hAnsi="Times New Roman" w:cs="Times New Roman" w:hint="default"/>
          <w:sz w:val="18"/>
        </w:rPr>
        <w:t xml:space="preserve">, E40–45 (2013). </w:t>
      </w:r>
      <w:hyperlink r:id="rId79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https://doi.org/10.1111/chf.12030</w:t>
        </w:r>
      </w:hyperlink>
    </w:p>
    <w:p w14:paraId="7D78C19F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78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Glassock, R. J., Pecoits-Filho, R. &amp; Barberato, S. H. Left ventricular mass in chronic kidney disease and ESRD. </w:t>
      </w:r>
      <w:r w:rsidRPr="00E605F9">
        <w:rPr>
          <w:rFonts w:ascii="Times New Roman" w:hAnsi="Times New Roman" w:cs="Times New Roman" w:hint="default"/>
          <w:i/>
          <w:sz w:val="18"/>
        </w:rPr>
        <w:t>Clin J Am Soc Nephrol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4 Suppl 1</w:t>
      </w:r>
      <w:r w:rsidRPr="00E605F9">
        <w:rPr>
          <w:rFonts w:ascii="Times New Roman" w:hAnsi="Times New Roman" w:cs="Times New Roman" w:hint="default"/>
          <w:sz w:val="18"/>
        </w:rPr>
        <w:t xml:space="preserve">, S79–91 (2009). </w:t>
      </w:r>
      <w:hyperlink r:id="rId80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https://doi.org/10.2215/cjn.04860709</w:t>
        </w:r>
      </w:hyperlink>
    </w:p>
    <w:p w14:paraId="1CA8EF8B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79</w:t>
      </w:r>
      <w:r w:rsidRPr="00E605F9">
        <w:rPr>
          <w:rFonts w:ascii="Times New Roman" w:hAnsi="Times New Roman" w:cs="Times New Roman" w:hint="default"/>
          <w:sz w:val="18"/>
        </w:rPr>
        <w:tab/>
        <w:t>Ozkahya, M.</w:t>
      </w:r>
      <w:r w:rsidRPr="00E605F9">
        <w:rPr>
          <w:rFonts w:ascii="Times New Roman" w:hAnsi="Times New Roman" w:cs="Times New Roman" w:hint="default"/>
          <w:i/>
          <w:sz w:val="18"/>
        </w:rPr>
        <w:t xml:space="preserve"> et al.</w:t>
      </w:r>
      <w:r w:rsidRPr="00E605F9">
        <w:rPr>
          <w:rFonts w:ascii="Times New Roman" w:hAnsi="Times New Roman" w:cs="Times New Roman" w:hint="default"/>
          <w:sz w:val="18"/>
        </w:rPr>
        <w:t xml:space="preserve"> Regression of left ventricular hypertrophy in haemodialysis patients by ultrafiltration and reduced salt intake without antihypertensive drugs. </w:t>
      </w:r>
      <w:r w:rsidRPr="00E605F9">
        <w:rPr>
          <w:rFonts w:ascii="Times New Roman" w:hAnsi="Times New Roman" w:cs="Times New Roman" w:hint="default"/>
          <w:i/>
          <w:sz w:val="18"/>
        </w:rPr>
        <w:t>Nephrol Dial Transplant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13</w:t>
      </w:r>
      <w:r w:rsidRPr="00E605F9">
        <w:rPr>
          <w:rFonts w:ascii="Times New Roman" w:hAnsi="Times New Roman" w:cs="Times New Roman" w:hint="default"/>
          <w:sz w:val="18"/>
        </w:rPr>
        <w:t xml:space="preserve">, 1489–1493 (1998). </w:t>
      </w:r>
      <w:hyperlink r:id="rId81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https://doi.org/10.1093/ndt/13.6.1489</w:t>
        </w:r>
      </w:hyperlink>
    </w:p>
    <w:p w14:paraId="17FA67DD" w14:textId="77777777" w:rsidR="00FE654A" w:rsidRPr="00E605F9" w:rsidRDefault="00727020" w:rsidP="00E605F9">
      <w:pPr>
        <w:pStyle w:val="EndNoteBibliography"/>
        <w:spacing w:after="0"/>
        <w:ind w:left="420" w:hanging="420"/>
        <w:jc w:val="left"/>
        <w:rPr>
          <w:rFonts w:ascii="Times New Roman" w:hAnsi="Times New Roman" w:cs="Times New Roman" w:hint="default"/>
          <w:sz w:val="18"/>
        </w:rPr>
      </w:pPr>
      <w:r w:rsidRPr="00E605F9">
        <w:rPr>
          <w:rFonts w:ascii="Times New Roman" w:hAnsi="Times New Roman" w:cs="Times New Roman" w:hint="default"/>
          <w:sz w:val="18"/>
        </w:rPr>
        <w:t>80</w:t>
      </w:r>
      <w:r w:rsidRPr="00E605F9">
        <w:rPr>
          <w:rFonts w:ascii="Times New Roman" w:hAnsi="Times New Roman" w:cs="Times New Roman" w:hint="default"/>
          <w:sz w:val="18"/>
        </w:rPr>
        <w:tab/>
        <w:t xml:space="preserve">Charra, B. &amp; Chazot, C. The neglect of sodium restriction in dialysis patients: a short review. </w:t>
      </w:r>
      <w:r w:rsidRPr="00E605F9">
        <w:rPr>
          <w:rFonts w:ascii="Times New Roman" w:hAnsi="Times New Roman" w:cs="Times New Roman" w:hint="default"/>
          <w:i/>
          <w:sz w:val="18"/>
        </w:rPr>
        <w:t>Hemodial Int</w:t>
      </w:r>
      <w:r w:rsidRPr="00E605F9">
        <w:rPr>
          <w:rFonts w:ascii="Times New Roman" w:hAnsi="Times New Roman" w:cs="Times New Roman" w:hint="default"/>
          <w:sz w:val="18"/>
        </w:rPr>
        <w:t xml:space="preserve"> </w:t>
      </w:r>
      <w:r w:rsidRPr="00E605F9">
        <w:rPr>
          <w:rFonts w:ascii="Times New Roman" w:hAnsi="Times New Roman" w:cs="Times New Roman" w:hint="default"/>
          <w:b/>
          <w:sz w:val="18"/>
        </w:rPr>
        <w:t>7</w:t>
      </w:r>
      <w:r w:rsidRPr="00E605F9">
        <w:rPr>
          <w:rFonts w:ascii="Times New Roman" w:hAnsi="Times New Roman" w:cs="Times New Roman" w:hint="default"/>
          <w:sz w:val="18"/>
        </w:rPr>
        <w:t xml:space="preserve">, 342–347 (2003). </w:t>
      </w:r>
      <w:hyperlink r:id="rId82" w:history="1">
        <w:r w:rsidRPr="00E605F9">
          <w:rPr>
            <w:rStyle w:val="Hyperlink"/>
            <w:rFonts w:ascii="Times New Roman" w:hAnsi="Times New Roman" w:cs="Times New Roman" w:hint="default"/>
            <w:sz w:val="18"/>
          </w:rPr>
          <w:t>https://doi.org/10.1046/j.1492-7535.2003.00060.x</w:t>
        </w:r>
      </w:hyperlink>
    </w:p>
    <w:p w14:paraId="5B32215B" w14:textId="77777777" w:rsidR="008C6018" w:rsidRDefault="00727020" w:rsidP="008C6018"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E605F9">
        <w:rPr>
          <w:rFonts w:ascii="Times New Roman" w:hAnsi="Times New Roman" w:cs="Times New Roman"/>
          <w:color w:val="000000" w:themeColor="text1"/>
          <w:sz w:val="20"/>
        </w:rPr>
        <w:fldChar w:fldCharType="end"/>
      </w:r>
    </w:p>
    <w:p w14:paraId="31614D41" w14:textId="2D3677F3" w:rsidR="008C6018" w:rsidRDefault="008C6018" w:rsidP="008C6018">
      <w:pPr>
        <w:spacing w:line="480" w:lineRule="auto"/>
        <w:jc w:val="both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&lt;</w:t>
      </w:r>
      <w:r>
        <w:rPr>
          <w:rFonts w:ascii="Times New Roman" w:cs="Times New Roman"/>
          <w:b/>
        </w:rPr>
        <w:t>/</w:t>
      </w:r>
      <w:r>
        <w:rPr>
          <w:rFonts w:ascii="Times New Roman" w:cs="Times New Roman"/>
          <w:b/>
        </w:rPr>
        <w:t>References&gt;</w:t>
      </w:r>
    </w:p>
    <w:p w14:paraId="7C6F3DE2" w14:textId="77777777" w:rsidR="00FE654A" w:rsidRPr="00617F11" w:rsidRDefault="00FE654A" w:rsidP="00E605F9">
      <w:pPr>
        <w:spacing w:after="0" w:line="240" w:lineRule="auto"/>
        <w:ind w:left="420" w:hanging="420"/>
        <w:rPr>
          <w:rFonts w:ascii="Times New Roman" w:hAnsi="Times New Roman" w:cs="Times New Roman"/>
          <w:color w:val="000000" w:themeColor="text1"/>
          <w:sz w:val="24"/>
        </w:rPr>
      </w:pPr>
    </w:p>
    <w:p w14:paraId="38038EAB" w14:textId="77777777" w:rsidR="00C96AF0" w:rsidRPr="00617F11" w:rsidRDefault="00C96AF0" w:rsidP="00BE161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bookmarkStart w:id="1" w:name="_GoBack"/>
      <w:bookmarkEnd w:id="1"/>
    </w:p>
    <w:sectPr w:rsidR="00C96AF0" w:rsidRPr="00617F11" w:rsidSect="00E605F9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CFD12" w14:textId="77777777" w:rsidR="00E73251" w:rsidRDefault="00E73251">
      <w:pPr>
        <w:spacing w:line="240" w:lineRule="auto"/>
      </w:pPr>
      <w:r>
        <w:separator/>
      </w:r>
    </w:p>
  </w:endnote>
  <w:endnote w:type="continuationSeparator" w:id="0">
    <w:p w14:paraId="4AFCDE09" w14:textId="77777777" w:rsidR="00E73251" w:rsidRDefault="00E73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52127" w14:textId="77777777" w:rsidR="00E73251" w:rsidRDefault="00E73251">
      <w:pPr>
        <w:spacing w:after="0"/>
      </w:pPr>
      <w:r>
        <w:separator/>
      </w:r>
    </w:p>
  </w:footnote>
  <w:footnote w:type="continuationSeparator" w:id="0">
    <w:p w14:paraId="252A6BEA" w14:textId="77777777" w:rsidR="00E73251" w:rsidRDefault="00E7325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等线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95xpxtpaf2t2hex5scxx5z4s0wxv2vz29fw&quot;&gt;My EndNote Library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/record-ids&gt;&lt;/item&gt;&lt;/Libraries&gt;"/>
  </w:docVars>
  <w:rsids>
    <w:rsidRoot w:val="00070C41"/>
    <w:rsid w:val="00047AAE"/>
    <w:rsid w:val="00063E37"/>
    <w:rsid w:val="00070C41"/>
    <w:rsid w:val="00092CCB"/>
    <w:rsid w:val="000955E2"/>
    <w:rsid w:val="000B1D02"/>
    <w:rsid w:val="000B6FAA"/>
    <w:rsid w:val="000C0EE2"/>
    <w:rsid w:val="000E0AC4"/>
    <w:rsid w:val="000F0365"/>
    <w:rsid w:val="000F211D"/>
    <w:rsid w:val="0010372A"/>
    <w:rsid w:val="00104747"/>
    <w:rsid w:val="00107330"/>
    <w:rsid w:val="00127E40"/>
    <w:rsid w:val="00130F01"/>
    <w:rsid w:val="00137867"/>
    <w:rsid w:val="00151EFB"/>
    <w:rsid w:val="00164B84"/>
    <w:rsid w:val="00172838"/>
    <w:rsid w:val="00177001"/>
    <w:rsid w:val="0017795A"/>
    <w:rsid w:val="00183B85"/>
    <w:rsid w:val="00194C46"/>
    <w:rsid w:val="001A277A"/>
    <w:rsid w:val="001A45EB"/>
    <w:rsid w:val="001B1779"/>
    <w:rsid w:val="001C0170"/>
    <w:rsid w:val="001C114C"/>
    <w:rsid w:val="001C217C"/>
    <w:rsid w:val="001D03DC"/>
    <w:rsid w:val="001D2526"/>
    <w:rsid w:val="001E198B"/>
    <w:rsid w:val="001F1E7A"/>
    <w:rsid w:val="001F5A8F"/>
    <w:rsid w:val="00214D4B"/>
    <w:rsid w:val="00224CF6"/>
    <w:rsid w:val="00234A4B"/>
    <w:rsid w:val="00246010"/>
    <w:rsid w:val="00260B60"/>
    <w:rsid w:val="00262DE1"/>
    <w:rsid w:val="002B207F"/>
    <w:rsid w:val="002B6D22"/>
    <w:rsid w:val="002B7FD3"/>
    <w:rsid w:val="002C38F3"/>
    <w:rsid w:val="002E35EE"/>
    <w:rsid w:val="002E3E65"/>
    <w:rsid w:val="00300A06"/>
    <w:rsid w:val="00300C5C"/>
    <w:rsid w:val="00302B6F"/>
    <w:rsid w:val="0031743B"/>
    <w:rsid w:val="00324D4C"/>
    <w:rsid w:val="00343465"/>
    <w:rsid w:val="00343F28"/>
    <w:rsid w:val="0037694F"/>
    <w:rsid w:val="003801B3"/>
    <w:rsid w:val="003829B8"/>
    <w:rsid w:val="00391CB4"/>
    <w:rsid w:val="003960B0"/>
    <w:rsid w:val="003D0E07"/>
    <w:rsid w:val="003E2F21"/>
    <w:rsid w:val="003E530C"/>
    <w:rsid w:val="00403579"/>
    <w:rsid w:val="004219C9"/>
    <w:rsid w:val="00423A6E"/>
    <w:rsid w:val="00464006"/>
    <w:rsid w:val="00465F3F"/>
    <w:rsid w:val="00467105"/>
    <w:rsid w:val="004713AC"/>
    <w:rsid w:val="00475D12"/>
    <w:rsid w:val="00490C2C"/>
    <w:rsid w:val="004A1DD6"/>
    <w:rsid w:val="004B3CD8"/>
    <w:rsid w:val="004B660C"/>
    <w:rsid w:val="004C0AED"/>
    <w:rsid w:val="004C152B"/>
    <w:rsid w:val="004C1F54"/>
    <w:rsid w:val="004D4436"/>
    <w:rsid w:val="004E3890"/>
    <w:rsid w:val="005222D1"/>
    <w:rsid w:val="00541862"/>
    <w:rsid w:val="00546403"/>
    <w:rsid w:val="00555B50"/>
    <w:rsid w:val="00575132"/>
    <w:rsid w:val="00584BE6"/>
    <w:rsid w:val="0059236B"/>
    <w:rsid w:val="005B1188"/>
    <w:rsid w:val="005B179B"/>
    <w:rsid w:val="005B342D"/>
    <w:rsid w:val="005D5DA9"/>
    <w:rsid w:val="005E1BD2"/>
    <w:rsid w:val="005E52FB"/>
    <w:rsid w:val="00605780"/>
    <w:rsid w:val="0061498A"/>
    <w:rsid w:val="00617F11"/>
    <w:rsid w:val="006362A1"/>
    <w:rsid w:val="00650442"/>
    <w:rsid w:val="00650F6E"/>
    <w:rsid w:val="0065643F"/>
    <w:rsid w:val="00672DAF"/>
    <w:rsid w:val="00674011"/>
    <w:rsid w:val="00691041"/>
    <w:rsid w:val="006940B5"/>
    <w:rsid w:val="006965E7"/>
    <w:rsid w:val="006A6FDA"/>
    <w:rsid w:val="006B0A1B"/>
    <w:rsid w:val="006B0B27"/>
    <w:rsid w:val="006C67AD"/>
    <w:rsid w:val="007212C1"/>
    <w:rsid w:val="00722A2B"/>
    <w:rsid w:val="00727020"/>
    <w:rsid w:val="00730BAD"/>
    <w:rsid w:val="00735F74"/>
    <w:rsid w:val="007546BB"/>
    <w:rsid w:val="007678DD"/>
    <w:rsid w:val="00786FBA"/>
    <w:rsid w:val="00794BC1"/>
    <w:rsid w:val="007A47A2"/>
    <w:rsid w:val="007A7A52"/>
    <w:rsid w:val="007B0137"/>
    <w:rsid w:val="007B1218"/>
    <w:rsid w:val="007F753B"/>
    <w:rsid w:val="00805A6E"/>
    <w:rsid w:val="00816497"/>
    <w:rsid w:val="00823AD3"/>
    <w:rsid w:val="00823E04"/>
    <w:rsid w:val="00830C9A"/>
    <w:rsid w:val="0084636D"/>
    <w:rsid w:val="00857953"/>
    <w:rsid w:val="00865089"/>
    <w:rsid w:val="008710EB"/>
    <w:rsid w:val="00871979"/>
    <w:rsid w:val="00873B4C"/>
    <w:rsid w:val="00873CD5"/>
    <w:rsid w:val="00882F83"/>
    <w:rsid w:val="008875F7"/>
    <w:rsid w:val="008C6018"/>
    <w:rsid w:val="008D25A4"/>
    <w:rsid w:val="008F3494"/>
    <w:rsid w:val="008F6F87"/>
    <w:rsid w:val="008F77FD"/>
    <w:rsid w:val="00900683"/>
    <w:rsid w:val="009113C8"/>
    <w:rsid w:val="00914D0E"/>
    <w:rsid w:val="00917F58"/>
    <w:rsid w:val="00921C01"/>
    <w:rsid w:val="00941669"/>
    <w:rsid w:val="0094494E"/>
    <w:rsid w:val="00955481"/>
    <w:rsid w:val="00970238"/>
    <w:rsid w:val="009877E2"/>
    <w:rsid w:val="00992D5F"/>
    <w:rsid w:val="009B3F0F"/>
    <w:rsid w:val="009C04E6"/>
    <w:rsid w:val="009D3F5F"/>
    <w:rsid w:val="009D6032"/>
    <w:rsid w:val="009F3AAE"/>
    <w:rsid w:val="00A1640E"/>
    <w:rsid w:val="00A25848"/>
    <w:rsid w:val="00A26387"/>
    <w:rsid w:val="00A6109D"/>
    <w:rsid w:val="00A935AD"/>
    <w:rsid w:val="00AE7FA0"/>
    <w:rsid w:val="00B06486"/>
    <w:rsid w:val="00B14995"/>
    <w:rsid w:val="00B213E4"/>
    <w:rsid w:val="00B50AAE"/>
    <w:rsid w:val="00B658A6"/>
    <w:rsid w:val="00B66D0E"/>
    <w:rsid w:val="00B72621"/>
    <w:rsid w:val="00B74152"/>
    <w:rsid w:val="00B77D17"/>
    <w:rsid w:val="00B83C5C"/>
    <w:rsid w:val="00B87EA0"/>
    <w:rsid w:val="00BA2FDC"/>
    <w:rsid w:val="00BB5B80"/>
    <w:rsid w:val="00BD6E1B"/>
    <w:rsid w:val="00BD71F1"/>
    <w:rsid w:val="00BE1615"/>
    <w:rsid w:val="00BE47FE"/>
    <w:rsid w:val="00BF4D64"/>
    <w:rsid w:val="00C171B9"/>
    <w:rsid w:val="00C21209"/>
    <w:rsid w:val="00C448C1"/>
    <w:rsid w:val="00C909B7"/>
    <w:rsid w:val="00C92217"/>
    <w:rsid w:val="00C96AF0"/>
    <w:rsid w:val="00CA4FE1"/>
    <w:rsid w:val="00CA57B4"/>
    <w:rsid w:val="00CB3EEF"/>
    <w:rsid w:val="00CC0167"/>
    <w:rsid w:val="00CC088E"/>
    <w:rsid w:val="00CC3CA3"/>
    <w:rsid w:val="00CD1657"/>
    <w:rsid w:val="00CD5228"/>
    <w:rsid w:val="00CD7027"/>
    <w:rsid w:val="00CE72AE"/>
    <w:rsid w:val="00D26A9B"/>
    <w:rsid w:val="00D3394F"/>
    <w:rsid w:val="00D752AB"/>
    <w:rsid w:val="00D97E41"/>
    <w:rsid w:val="00DC1258"/>
    <w:rsid w:val="00DC34E4"/>
    <w:rsid w:val="00DD346E"/>
    <w:rsid w:val="00DD55A5"/>
    <w:rsid w:val="00DD7D8C"/>
    <w:rsid w:val="00DE3995"/>
    <w:rsid w:val="00E006DC"/>
    <w:rsid w:val="00E074EC"/>
    <w:rsid w:val="00E50CE9"/>
    <w:rsid w:val="00E531D9"/>
    <w:rsid w:val="00E56686"/>
    <w:rsid w:val="00E605F9"/>
    <w:rsid w:val="00E621B6"/>
    <w:rsid w:val="00E73251"/>
    <w:rsid w:val="00E8102F"/>
    <w:rsid w:val="00E96A9C"/>
    <w:rsid w:val="00EA0131"/>
    <w:rsid w:val="00EB096E"/>
    <w:rsid w:val="00EC1B41"/>
    <w:rsid w:val="00EC387B"/>
    <w:rsid w:val="00EC3CBC"/>
    <w:rsid w:val="00EC4B35"/>
    <w:rsid w:val="00EE0600"/>
    <w:rsid w:val="00EF4B6A"/>
    <w:rsid w:val="00F15C21"/>
    <w:rsid w:val="00F16DD4"/>
    <w:rsid w:val="00F26E0D"/>
    <w:rsid w:val="00F43A70"/>
    <w:rsid w:val="00F443CF"/>
    <w:rsid w:val="00F46F21"/>
    <w:rsid w:val="00F51F9B"/>
    <w:rsid w:val="00F64758"/>
    <w:rsid w:val="00F73783"/>
    <w:rsid w:val="00F87210"/>
    <w:rsid w:val="00F91C3F"/>
    <w:rsid w:val="00FB2AB5"/>
    <w:rsid w:val="00FD5599"/>
    <w:rsid w:val="00FD70AA"/>
    <w:rsid w:val="00FE654A"/>
    <w:rsid w:val="01F64D0F"/>
    <w:rsid w:val="02B65DB8"/>
    <w:rsid w:val="02DC5CB3"/>
    <w:rsid w:val="02ED6112"/>
    <w:rsid w:val="032F04D8"/>
    <w:rsid w:val="036511C5"/>
    <w:rsid w:val="03985C43"/>
    <w:rsid w:val="047B60DC"/>
    <w:rsid w:val="04D019EB"/>
    <w:rsid w:val="05B70786"/>
    <w:rsid w:val="05BC7E69"/>
    <w:rsid w:val="05D76C05"/>
    <w:rsid w:val="06D111D0"/>
    <w:rsid w:val="06D37B94"/>
    <w:rsid w:val="06D7510F"/>
    <w:rsid w:val="071148AE"/>
    <w:rsid w:val="071D73FA"/>
    <w:rsid w:val="082C018B"/>
    <w:rsid w:val="08DA0EE6"/>
    <w:rsid w:val="092263E9"/>
    <w:rsid w:val="0A0A57FB"/>
    <w:rsid w:val="0A2C751F"/>
    <w:rsid w:val="0AAC6C27"/>
    <w:rsid w:val="0B25158A"/>
    <w:rsid w:val="0B5657EB"/>
    <w:rsid w:val="0C2801BA"/>
    <w:rsid w:val="0D291814"/>
    <w:rsid w:val="0D865199"/>
    <w:rsid w:val="0DBA12E6"/>
    <w:rsid w:val="0E0A401C"/>
    <w:rsid w:val="0E122ED0"/>
    <w:rsid w:val="0E552DBD"/>
    <w:rsid w:val="0ECA37AB"/>
    <w:rsid w:val="0F9D4A1B"/>
    <w:rsid w:val="0FCE72CB"/>
    <w:rsid w:val="10256E5E"/>
    <w:rsid w:val="1080434A"/>
    <w:rsid w:val="109B7D6A"/>
    <w:rsid w:val="10B22749"/>
    <w:rsid w:val="11205904"/>
    <w:rsid w:val="1134209D"/>
    <w:rsid w:val="11362F75"/>
    <w:rsid w:val="11AB1672"/>
    <w:rsid w:val="12C639F7"/>
    <w:rsid w:val="13693592"/>
    <w:rsid w:val="13C40460"/>
    <w:rsid w:val="13CC64D1"/>
    <w:rsid w:val="15695ACC"/>
    <w:rsid w:val="15D66ED9"/>
    <w:rsid w:val="167E4CCD"/>
    <w:rsid w:val="17086F87"/>
    <w:rsid w:val="175971C1"/>
    <w:rsid w:val="17601EFB"/>
    <w:rsid w:val="17A019FB"/>
    <w:rsid w:val="1876405C"/>
    <w:rsid w:val="18DE6A91"/>
    <w:rsid w:val="192C1A12"/>
    <w:rsid w:val="19805072"/>
    <w:rsid w:val="19B73A4A"/>
    <w:rsid w:val="1A0048EB"/>
    <w:rsid w:val="1A2E2355"/>
    <w:rsid w:val="1A2E4BEE"/>
    <w:rsid w:val="1B630EA1"/>
    <w:rsid w:val="1BB750B7"/>
    <w:rsid w:val="1C95422A"/>
    <w:rsid w:val="1CC2459E"/>
    <w:rsid w:val="1CF57C45"/>
    <w:rsid w:val="1CFC18A6"/>
    <w:rsid w:val="1D063C00"/>
    <w:rsid w:val="1D156539"/>
    <w:rsid w:val="1D8F0099"/>
    <w:rsid w:val="1DBC69B5"/>
    <w:rsid w:val="1F372797"/>
    <w:rsid w:val="1FD07843"/>
    <w:rsid w:val="20490B12"/>
    <w:rsid w:val="209D3040"/>
    <w:rsid w:val="20F75336"/>
    <w:rsid w:val="21052421"/>
    <w:rsid w:val="215D400B"/>
    <w:rsid w:val="216C7A95"/>
    <w:rsid w:val="222526DC"/>
    <w:rsid w:val="22255B9B"/>
    <w:rsid w:val="228C5EFC"/>
    <w:rsid w:val="23867849"/>
    <w:rsid w:val="23B64811"/>
    <w:rsid w:val="24534347"/>
    <w:rsid w:val="245C4A4D"/>
    <w:rsid w:val="24FF0AE1"/>
    <w:rsid w:val="25582648"/>
    <w:rsid w:val="25642F79"/>
    <w:rsid w:val="258D6706"/>
    <w:rsid w:val="26053275"/>
    <w:rsid w:val="266C3639"/>
    <w:rsid w:val="26797B39"/>
    <w:rsid w:val="2681180E"/>
    <w:rsid w:val="26A34BB6"/>
    <w:rsid w:val="26B516B8"/>
    <w:rsid w:val="27090EBD"/>
    <w:rsid w:val="2753124E"/>
    <w:rsid w:val="27BF6EAF"/>
    <w:rsid w:val="286D7229"/>
    <w:rsid w:val="293D4E4D"/>
    <w:rsid w:val="29826D04"/>
    <w:rsid w:val="299F1BCE"/>
    <w:rsid w:val="29C9346E"/>
    <w:rsid w:val="29D137E8"/>
    <w:rsid w:val="2A7E571E"/>
    <w:rsid w:val="2B013BB0"/>
    <w:rsid w:val="2B203DD5"/>
    <w:rsid w:val="2B484F92"/>
    <w:rsid w:val="2B821C11"/>
    <w:rsid w:val="2CF717B7"/>
    <w:rsid w:val="2E1A39AF"/>
    <w:rsid w:val="2E1E3349"/>
    <w:rsid w:val="2E450300"/>
    <w:rsid w:val="2EE713B8"/>
    <w:rsid w:val="2EF77B64"/>
    <w:rsid w:val="2F2778ED"/>
    <w:rsid w:val="2F407445"/>
    <w:rsid w:val="2FA554FB"/>
    <w:rsid w:val="30313232"/>
    <w:rsid w:val="30340320"/>
    <w:rsid w:val="30393D42"/>
    <w:rsid w:val="3081502B"/>
    <w:rsid w:val="309061AB"/>
    <w:rsid w:val="30A37792"/>
    <w:rsid w:val="317E24A7"/>
    <w:rsid w:val="31D1085B"/>
    <w:rsid w:val="31D71BB7"/>
    <w:rsid w:val="321C75CA"/>
    <w:rsid w:val="32543208"/>
    <w:rsid w:val="32877139"/>
    <w:rsid w:val="334943EF"/>
    <w:rsid w:val="33984226"/>
    <w:rsid w:val="33C57F19"/>
    <w:rsid w:val="33EA3E24"/>
    <w:rsid w:val="34A246FE"/>
    <w:rsid w:val="34FA0D9C"/>
    <w:rsid w:val="35026F4B"/>
    <w:rsid w:val="35F41DD3"/>
    <w:rsid w:val="361909F0"/>
    <w:rsid w:val="369140B8"/>
    <w:rsid w:val="374675C3"/>
    <w:rsid w:val="37C95881"/>
    <w:rsid w:val="38066D52"/>
    <w:rsid w:val="38A15CE1"/>
    <w:rsid w:val="396F1107"/>
    <w:rsid w:val="39E950A1"/>
    <w:rsid w:val="3AA60379"/>
    <w:rsid w:val="3B8004C1"/>
    <w:rsid w:val="3BEB698B"/>
    <w:rsid w:val="3BF84EB0"/>
    <w:rsid w:val="3C406CD7"/>
    <w:rsid w:val="3C9661AF"/>
    <w:rsid w:val="3D385C00"/>
    <w:rsid w:val="3D532A3A"/>
    <w:rsid w:val="3E1148C9"/>
    <w:rsid w:val="3E812E65"/>
    <w:rsid w:val="3F6C393F"/>
    <w:rsid w:val="403D6B22"/>
    <w:rsid w:val="40DC2D46"/>
    <w:rsid w:val="411E68E3"/>
    <w:rsid w:val="41443BCD"/>
    <w:rsid w:val="416829D0"/>
    <w:rsid w:val="418F1B67"/>
    <w:rsid w:val="41F25730"/>
    <w:rsid w:val="426E3E72"/>
    <w:rsid w:val="42A03AED"/>
    <w:rsid w:val="42C337AA"/>
    <w:rsid w:val="42D62DDD"/>
    <w:rsid w:val="4330566D"/>
    <w:rsid w:val="43370708"/>
    <w:rsid w:val="43413334"/>
    <w:rsid w:val="43572B58"/>
    <w:rsid w:val="438C4A24"/>
    <w:rsid w:val="43F3240D"/>
    <w:rsid w:val="44384737"/>
    <w:rsid w:val="448434D9"/>
    <w:rsid w:val="44E71F35"/>
    <w:rsid w:val="454553A8"/>
    <w:rsid w:val="45967968"/>
    <w:rsid w:val="45A76FA0"/>
    <w:rsid w:val="45AA7784"/>
    <w:rsid w:val="468A3E2B"/>
    <w:rsid w:val="479A3013"/>
    <w:rsid w:val="479F35AA"/>
    <w:rsid w:val="47F60B91"/>
    <w:rsid w:val="48521346"/>
    <w:rsid w:val="49DD0DB7"/>
    <w:rsid w:val="4A4F4589"/>
    <w:rsid w:val="4A9B5A20"/>
    <w:rsid w:val="4B0026A0"/>
    <w:rsid w:val="4B7342A7"/>
    <w:rsid w:val="4BDC666A"/>
    <w:rsid w:val="4C2E33C7"/>
    <w:rsid w:val="4DDE00FE"/>
    <w:rsid w:val="4E5403C0"/>
    <w:rsid w:val="4E74636C"/>
    <w:rsid w:val="4E8D742E"/>
    <w:rsid w:val="4F1931A5"/>
    <w:rsid w:val="4F2E691D"/>
    <w:rsid w:val="503C2EED"/>
    <w:rsid w:val="50460189"/>
    <w:rsid w:val="50D457E8"/>
    <w:rsid w:val="50E53551"/>
    <w:rsid w:val="510A2FB8"/>
    <w:rsid w:val="517F2773"/>
    <w:rsid w:val="524A4A92"/>
    <w:rsid w:val="52AA6800"/>
    <w:rsid w:val="530B4CDF"/>
    <w:rsid w:val="535708A0"/>
    <w:rsid w:val="5384650F"/>
    <w:rsid w:val="53FF0DCE"/>
    <w:rsid w:val="541C372E"/>
    <w:rsid w:val="547F7318"/>
    <w:rsid w:val="549E4143"/>
    <w:rsid w:val="54B47EE4"/>
    <w:rsid w:val="55BD2CEE"/>
    <w:rsid w:val="55FD133D"/>
    <w:rsid w:val="56574EF1"/>
    <w:rsid w:val="57407733"/>
    <w:rsid w:val="599E312A"/>
    <w:rsid w:val="5A1D3D5C"/>
    <w:rsid w:val="5A3D5D31"/>
    <w:rsid w:val="5A6610C0"/>
    <w:rsid w:val="5A753B98"/>
    <w:rsid w:val="5A93401E"/>
    <w:rsid w:val="5AAE0E58"/>
    <w:rsid w:val="5AB45605"/>
    <w:rsid w:val="5AC8016B"/>
    <w:rsid w:val="5AE966E2"/>
    <w:rsid w:val="5AEC372E"/>
    <w:rsid w:val="5B8F6EDB"/>
    <w:rsid w:val="5B922527"/>
    <w:rsid w:val="5B9B7569"/>
    <w:rsid w:val="5BAB5397"/>
    <w:rsid w:val="5BF133C0"/>
    <w:rsid w:val="5D2C3769"/>
    <w:rsid w:val="5DB9023F"/>
    <w:rsid w:val="5DC82082"/>
    <w:rsid w:val="5DDA7096"/>
    <w:rsid w:val="5DFC1EDA"/>
    <w:rsid w:val="5E453881"/>
    <w:rsid w:val="5F092B01"/>
    <w:rsid w:val="5F351B48"/>
    <w:rsid w:val="5FA13C69"/>
    <w:rsid w:val="5FB26637"/>
    <w:rsid w:val="5FE315A4"/>
    <w:rsid w:val="60077599"/>
    <w:rsid w:val="60A67B8D"/>
    <w:rsid w:val="60C413D5"/>
    <w:rsid w:val="60D970AF"/>
    <w:rsid w:val="6155202D"/>
    <w:rsid w:val="61AE798F"/>
    <w:rsid w:val="61D90EB0"/>
    <w:rsid w:val="61DE0274"/>
    <w:rsid w:val="62A258DF"/>
    <w:rsid w:val="62C3582B"/>
    <w:rsid w:val="630E4B89"/>
    <w:rsid w:val="630F758E"/>
    <w:rsid w:val="65203646"/>
    <w:rsid w:val="652E32C1"/>
    <w:rsid w:val="656F7706"/>
    <w:rsid w:val="65D258A5"/>
    <w:rsid w:val="670144FB"/>
    <w:rsid w:val="67886676"/>
    <w:rsid w:val="68040309"/>
    <w:rsid w:val="681A5D7E"/>
    <w:rsid w:val="683A1F7D"/>
    <w:rsid w:val="68594AF9"/>
    <w:rsid w:val="69592E2D"/>
    <w:rsid w:val="69C266CE"/>
    <w:rsid w:val="6A433405"/>
    <w:rsid w:val="6A4610AD"/>
    <w:rsid w:val="6AAE1D76"/>
    <w:rsid w:val="6AFE1B6E"/>
    <w:rsid w:val="6B2D7B77"/>
    <w:rsid w:val="6B6712DB"/>
    <w:rsid w:val="6C2F4977"/>
    <w:rsid w:val="6C472EBA"/>
    <w:rsid w:val="6CC15244"/>
    <w:rsid w:val="6CDF1345"/>
    <w:rsid w:val="6D1F61B8"/>
    <w:rsid w:val="6D1F7993"/>
    <w:rsid w:val="6D3451EC"/>
    <w:rsid w:val="6D5E04BB"/>
    <w:rsid w:val="6D7E467D"/>
    <w:rsid w:val="6F152DFC"/>
    <w:rsid w:val="700E6816"/>
    <w:rsid w:val="70B52AE8"/>
    <w:rsid w:val="71493231"/>
    <w:rsid w:val="717A5967"/>
    <w:rsid w:val="71855B02"/>
    <w:rsid w:val="72A20E4A"/>
    <w:rsid w:val="72FD181C"/>
    <w:rsid w:val="733777E5"/>
    <w:rsid w:val="734E051D"/>
    <w:rsid w:val="74026044"/>
    <w:rsid w:val="747F7C08"/>
    <w:rsid w:val="754E52B9"/>
    <w:rsid w:val="75A85E1C"/>
    <w:rsid w:val="75FE0A8D"/>
    <w:rsid w:val="761422CC"/>
    <w:rsid w:val="767E397C"/>
    <w:rsid w:val="769413F2"/>
    <w:rsid w:val="76AC04E9"/>
    <w:rsid w:val="76B72F3A"/>
    <w:rsid w:val="76B949B4"/>
    <w:rsid w:val="76EC4D8A"/>
    <w:rsid w:val="77C17FC5"/>
    <w:rsid w:val="786077DD"/>
    <w:rsid w:val="78615304"/>
    <w:rsid w:val="788C0B4E"/>
    <w:rsid w:val="78AA2B2B"/>
    <w:rsid w:val="78FB242B"/>
    <w:rsid w:val="79E61F64"/>
    <w:rsid w:val="7AA716F4"/>
    <w:rsid w:val="7B1D19B6"/>
    <w:rsid w:val="7B6C46EB"/>
    <w:rsid w:val="7B7D2454"/>
    <w:rsid w:val="7C013085"/>
    <w:rsid w:val="7C2A25DC"/>
    <w:rsid w:val="7C30396B"/>
    <w:rsid w:val="7C4116D4"/>
    <w:rsid w:val="7D006E99"/>
    <w:rsid w:val="7D513E64"/>
    <w:rsid w:val="7D5D078F"/>
    <w:rsid w:val="7DAF266D"/>
    <w:rsid w:val="7DF36F7A"/>
    <w:rsid w:val="7E5F5A2A"/>
    <w:rsid w:val="7E8B34AA"/>
    <w:rsid w:val="7ED92098"/>
    <w:rsid w:val="7F370B6C"/>
    <w:rsid w:val="7F914720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669BEB05"/>
  <w15:docId w15:val="{5C451C56-0877-41D8-A277-A3F986D0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:lang w:val="en-US" w:eastAsia="zh-CN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cs="Times New Roman"/>
      <w:kern w:val="0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6607D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0"/>
    <w:qFormat/>
    <w:pPr>
      <w:spacing w:after="0"/>
      <w:jc w:val="center"/>
    </w:pPr>
    <w:rPr>
      <w:rFonts w:ascii="DengXian" w:eastAsia="DengXian" w:hAnsi="DengXian" w:cs="DengXian" w:hint="eastAsia"/>
    </w:rPr>
  </w:style>
  <w:style w:type="character" w:customStyle="1" w:styleId="EndNoteBibliographyTitle0">
    <w:name w:val="EndNote Bibliography Title 字符"/>
    <w:basedOn w:val="DefaultParagraphFont"/>
    <w:link w:val="EndNoteBibliographyTitle"/>
    <w:qFormat/>
    <w:rPr>
      <w:rFonts w:ascii="DengXian" w:eastAsia="DengXian" w:hAnsi="DengXian" w:cs="DengXian" w:hint="eastAsia"/>
    </w:rPr>
  </w:style>
  <w:style w:type="paragraph" w:customStyle="1" w:styleId="EndNoteBibliography">
    <w:name w:val="EndNote Bibliography"/>
    <w:basedOn w:val="Normal"/>
    <w:link w:val="EndNoteBibliography0"/>
    <w:qFormat/>
    <w:pPr>
      <w:spacing w:line="240" w:lineRule="auto"/>
      <w:jc w:val="both"/>
    </w:pPr>
    <w:rPr>
      <w:rFonts w:ascii="DengXian" w:eastAsia="DengXian" w:hAnsi="DengXian" w:cs="DengXian" w:hint="eastAsia"/>
    </w:rPr>
  </w:style>
  <w:style w:type="character" w:customStyle="1" w:styleId="EndNoteBibliography0">
    <w:name w:val="EndNote Bibliography 字符"/>
    <w:basedOn w:val="DefaultParagraphFont"/>
    <w:link w:val="EndNoteBibliography"/>
    <w:qFormat/>
    <w:rPr>
      <w:rFonts w:ascii="DengXian" w:eastAsia="DengXian" w:hAnsi="DengXian" w:cs="DengXian" w:hint="eastAsia"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2"/>
      <w:szCs w:val="24"/>
      <w:lang w:val="en-US" w:eastAsia="zh-CN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3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89/met.2008.0034" TargetMode="External"/><Relationship Id="rId18" Type="http://schemas.openxmlformats.org/officeDocument/2006/relationships/hyperlink" Target="https://doi.org/10.1038/s41598-019-43776-5" TargetMode="External"/><Relationship Id="rId26" Type="http://schemas.openxmlformats.org/officeDocument/2006/relationships/hyperlink" Target="https://doi.org/10.1007/s11886-012-0340-4" TargetMode="External"/><Relationship Id="rId39" Type="http://schemas.openxmlformats.org/officeDocument/2006/relationships/hyperlink" Target="https://doi.org/https://doi.org/10.1002/mdr2.70004" TargetMode="External"/><Relationship Id="rId21" Type="http://schemas.openxmlformats.org/officeDocument/2006/relationships/hyperlink" Target="https://doi.org/10.1186/s12933-022-01507-7" TargetMode="External"/><Relationship Id="rId34" Type="http://schemas.openxmlformats.org/officeDocument/2006/relationships/hyperlink" Target="https://doi.org/10.1002/tox.24284" TargetMode="External"/><Relationship Id="rId42" Type="http://schemas.openxmlformats.org/officeDocument/2006/relationships/hyperlink" Target="https://doi.org/10.1186/s12933-024-02354-4" TargetMode="External"/><Relationship Id="rId47" Type="http://schemas.openxmlformats.org/officeDocument/2006/relationships/hyperlink" Target="https://doi.org/10.1038/s41467-024-50415-9" TargetMode="External"/><Relationship Id="rId50" Type="http://schemas.openxmlformats.org/officeDocument/2006/relationships/hyperlink" Target="https://doi.org/10.1038/sj.ijo.0801995" TargetMode="External"/><Relationship Id="rId55" Type="http://schemas.openxmlformats.org/officeDocument/2006/relationships/hyperlink" Target="https://doi.org/10.2337/diacare.14.3.173" TargetMode="External"/><Relationship Id="rId63" Type="http://schemas.openxmlformats.org/officeDocument/2006/relationships/hyperlink" Target="https://doi.org/10.1186/s12933-023-02114-w" TargetMode="External"/><Relationship Id="rId68" Type="http://schemas.openxmlformats.org/officeDocument/2006/relationships/hyperlink" Target="https://doi.org/10.1007/s00125-007-0654-8" TargetMode="External"/><Relationship Id="rId76" Type="http://schemas.openxmlformats.org/officeDocument/2006/relationships/hyperlink" Target="https://doi.org/10.1161/circulationaha.120.050686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doi.org/10.1016/s0140-6736(18)32203-7" TargetMode="External"/><Relationship Id="rId71" Type="http://schemas.openxmlformats.org/officeDocument/2006/relationships/hyperlink" Target="https://doi.org/10.1186/s12933-024-02334-8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3389/fcvm.2021.585776" TargetMode="External"/><Relationship Id="rId29" Type="http://schemas.openxmlformats.org/officeDocument/2006/relationships/hyperlink" Target="https://doi.org/10.1093/ije/dym276" TargetMode="External"/><Relationship Id="rId11" Type="http://schemas.openxmlformats.org/officeDocument/2006/relationships/hyperlink" Target="https://doi.org/10.1016/j.cmet.2011.07.015" TargetMode="External"/><Relationship Id="rId24" Type="http://schemas.openxmlformats.org/officeDocument/2006/relationships/hyperlink" Target="https://doi.org/10.2174/1573403x14666180711124825" TargetMode="External"/><Relationship Id="rId32" Type="http://schemas.openxmlformats.org/officeDocument/2006/relationships/hyperlink" Target="https://doi.org/10.1136/bmj.i582" TargetMode="External"/><Relationship Id="rId37" Type="http://schemas.openxmlformats.org/officeDocument/2006/relationships/hyperlink" Target="https://doi.org/10.18632/aging.205564" TargetMode="External"/><Relationship Id="rId40" Type="http://schemas.openxmlformats.org/officeDocument/2006/relationships/hyperlink" Target="https://doi.org/10.1186/s12933-022-01541-5" TargetMode="External"/><Relationship Id="rId45" Type="http://schemas.openxmlformats.org/officeDocument/2006/relationships/hyperlink" Target="https://doi.org/10.1021/acs.jproteome.4c00522" TargetMode="External"/><Relationship Id="rId53" Type="http://schemas.openxmlformats.org/officeDocument/2006/relationships/hyperlink" Target="https://doi.org/10.1161/01.cir.104.3.342" TargetMode="External"/><Relationship Id="rId58" Type="http://schemas.openxmlformats.org/officeDocument/2006/relationships/hyperlink" Target="https://doi.org/10.2337/db06-0783" TargetMode="External"/><Relationship Id="rId66" Type="http://schemas.openxmlformats.org/officeDocument/2006/relationships/hyperlink" Target="https://doi.org/10.1172/jci28898" TargetMode="External"/><Relationship Id="rId74" Type="http://schemas.openxmlformats.org/officeDocument/2006/relationships/hyperlink" Target="https://doi.org/10.1016/j.smrv.2016.05.004" TargetMode="External"/><Relationship Id="rId79" Type="http://schemas.openxmlformats.org/officeDocument/2006/relationships/hyperlink" Target="https://doi.org/10.1111/chf.12030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doi.org/10.2337/db09-1008" TargetMode="External"/><Relationship Id="rId82" Type="http://schemas.openxmlformats.org/officeDocument/2006/relationships/hyperlink" Target="https://doi.org/10.1046/j.1492-7535.2003.00060.x" TargetMode="External"/><Relationship Id="rId10" Type="http://schemas.openxmlformats.org/officeDocument/2006/relationships/hyperlink" Target="https://doi.org/https://doi.org/10.1002/mdr2.70052" TargetMode="External"/><Relationship Id="rId19" Type="http://schemas.openxmlformats.org/officeDocument/2006/relationships/hyperlink" Target="https://doi.org/10.1186/s12916-020-01824-2" TargetMode="External"/><Relationship Id="rId31" Type="http://schemas.openxmlformats.org/officeDocument/2006/relationships/hyperlink" Target="https://doi.org/10.7326/0003-4819-150-9-200905050-00006" TargetMode="External"/><Relationship Id="rId44" Type="http://schemas.openxmlformats.org/officeDocument/2006/relationships/hyperlink" Target="https://doi.org/10.1016/j.isci.2023.107587" TargetMode="External"/><Relationship Id="rId52" Type="http://schemas.openxmlformats.org/officeDocument/2006/relationships/hyperlink" Target="https://doi.org/10.1073/pnas.84.24.9265" TargetMode="External"/><Relationship Id="rId60" Type="http://schemas.openxmlformats.org/officeDocument/2006/relationships/hyperlink" Target="https://doi.org/10.1152/ajpheart.00040.2006" TargetMode="External"/><Relationship Id="rId65" Type="http://schemas.openxmlformats.org/officeDocument/2006/relationships/hyperlink" Target="https://doi.org/10.1186/s12933-023-02030-z" TargetMode="External"/><Relationship Id="rId73" Type="http://schemas.openxmlformats.org/officeDocument/2006/relationships/hyperlink" Target="https://doi.org/10.1016/j.cpcardiol.2023.101604" TargetMode="External"/><Relationship Id="rId78" Type="http://schemas.openxmlformats.org/officeDocument/2006/relationships/hyperlink" Target="https://doi.org/10.1038/nrneph.2017.52" TargetMode="External"/><Relationship Id="rId81" Type="http://schemas.openxmlformats.org/officeDocument/2006/relationships/hyperlink" Target="https://doi.org/10.1093/ndt/13.6.14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186/s12967-022-03795-9" TargetMode="External"/><Relationship Id="rId14" Type="http://schemas.openxmlformats.org/officeDocument/2006/relationships/hyperlink" Target="https://doi.org/10.1186/s12933-022-01511-x" TargetMode="External"/><Relationship Id="rId22" Type="http://schemas.openxmlformats.org/officeDocument/2006/relationships/hyperlink" Target="https://doi.org/10.1186/s12944-016-0324-2" TargetMode="External"/><Relationship Id="rId27" Type="http://schemas.openxmlformats.org/officeDocument/2006/relationships/hyperlink" Target="https://doi.org/10.1038/s41591-019-0627-8" TargetMode="External"/><Relationship Id="rId30" Type="http://schemas.openxmlformats.org/officeDocument/2006/relationships/hyperlink" Target="https://doi.org/10.1093/ije/dyz053" TargetMode="External"/><Relationship Id="rId35" Type="http://schemas.openxmlformats.org/officeDocument/2006/relationships/hyperlink" Target="https://doi.org/10.3389/fonc.2021.659217" TargetMode="External"/><Relationship Id="rId43" Type="http://schemas.openxmlformats.org/officeDocument/2006/relationships/hyperlink" Target="https://doi.org/10.1186/s12933-024-02248-5" TargetMode="External"/><Relationship Id="rId48" Type="http://schemas.openxmlformats.org/officeDocument/2006/relationships/hyperlink" Target="https://doi.org/10.1038/s41580-018-0044-8" TargetMode="External"/><Relationship Id="rId56" Type="http://schemas.openxmlformats.org/officeDocument/2006/relationships/hyperlink" Target="https://doi.org/10.1096/fj.09-151340" TargetMode="External"/><Relationship Id="rId64" Type="http://schemas.openxmlformats.org/officeDocument/2006/relationships/hyperlink" Target="https://doi.org/10.1186/s12933-023-02115-9" TargetMode="External"/><Relationship Id="rId69" Type="http://schemas.openxmlformats.org/officeDocument/2006/relationships/hyperlink" Target="https://doi.org/10.1161/circresaha.106.142851" TargetMode="External"/><Relationship Id="rId77" Type="http://schemas.openxmlformats.org/officeDocument/2006/relationships/hyperlink" Target="https://doi.org/10.1093/ndt/15.7.1014" TargetMode="External"/><Relationship Id="rId8" Type="http://schemas.openxmlformats.org/officeDocument/2006/relationships/hyperlink" Target="https://doi.org/10.1016/j.jacc.2020.11.010" TargetMode="External"/><Relationship Id="rId51" Type="http://schemas.openxmlformats.org/officeDocument/2006/relationships/hyperlink" Target="https://doi.org/10.2337/db12-1242" TargetMode="External"/><Relationship Id="rId72" Type="http://schemas.openxmlformats.org/officeDocument/2006/relationships/hyperlink" Target="https://doi.org/10.5334/gh.1366" TargetMode="External"/><Relationship Id="rId80" Type="http://schemas.openxmlformats.org/officeDocument/2006/relationships/hyperlink" Target="https://doi.org/10.2215/cjn.0486070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i.org/10.1111/jch.14155" TargetMode="External"/><Relationship Id="rId17" Type="http://schemas.openxmlformats.org/officeDocument/2006/relationships/hyperlink" Target="https://doi.org/10.3390/nu11112838" TargetMode="External"/><Relationship Id="rId25" Type="http://schemas.openxmlformats.org/officeDocument/2006/relationships/hyperlink" Target="https://doi.org/10.1016/j.kint.2023.10.018" TargetMode="External"/><Relationship Id="rId33" Type="http://schemas.openxmlformats.org/officeDocument/2006/relationships/hyperlink" Target="https://doi.org/10.1249/01.Mss.0000078924.61453.Fb" TargetMode="External"/><Relationship Id="rId38" Type="http://schemas.openxmlformats.org/officeDocument/2006/relationships/hyperlink" Target="https://doi.org/10.1200/PO.24.00089" TargetMode="External"/><Relationship Id="rId46" Type="http://schemas.openxmlformats.org/officeDocument/2006/relationships/hyperlink" Target="https://doi.org/10.1002/ehf2.14003" TargetMode="External"/><Relationship Id="rId59" Type="http://schemas.openxmlformats.org/officeDocument/2006/relationships/hyperlink" Target="https://doi.org/10.1016/j.diabres.2007.01.071" TargetMode="External"/><Relationship Id="rId67" Type="http://schemas.openxmlformats.org/officeDocument/2006/relationships/hyperlink" Target="https://doi.org/10.1016/j.bbrc.2006.12.190" TargetMode="External"/><Relationship Id="rId20" Type="http://schemas.openxmlformats.org/officeDocument/2006/relationships/hyperlink" Target="https://doi.org/10.1186/s12933-020-01108-2" TargetMode="External"/><Relationship Id="rId41" Type="http://schemas.openxmlformats.org/officeDocument/2006/relationships/hyperlink" Target="https://doi.org/10.1186/s12933-023-02055-4" TargetMode="External"/><Relationship Id="rId54" Type="http://schemas.openxmlformats.org/officeDocument/2006/relationships/hyperlink" Target="https://doi.org/10.2337/diacare.27.5.1047" TargetMode="External"/><Relationship Id="rId62" Type="http://schemas.openxmlformats.org/officeDocument/2006/relationships/hyperlink" Target="https://doi.org/10.1186/s12933-023-01762-2" TargetMode="External"/><Relationship Id="rId70" Type="http://schemas.openxmlformats.org/officeDocument/2006/relationships/hyperlink" Target="https://doi.org/10.1186/s11658-021-00283-8" TargetMode="External"/><Relationship Id="rId75" Type="http://schemas.openxmlformats.org/officeDocument/2006/relationships/hyperlink" Target="https://doi.org/10.1038/s41569-018-0119-4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doi.org/10.1016/j.numecd.2019.09.015" TargetMode="External"/><Relationship Id="rId23" Type="http://schemas.openxmlformats.org/officeDocument/2006/relationships/hyperlink" Target="https://doi.org/10.1186/s12933-021-01332-4" TargetMode="External"/><Relationship Id="rId28" Type="http://schemas.openxmlformats.org/officeDocument/2006/relationships/hyperlink" Target="https://doi.org/10.1371/journal.pone.0078475" TargetMode="External"/><Relationship Id="rId36" Type="http://schemas.openxmlformats.org/officeDocument/2006/relationships/hyperlink" Target="https://doi.org/10.1186/s10020-024-00963-z" TargetMode="External"/><Relationship Id="rId49" Type="http://schemas.openxmlformats.org/officeDocument/2006/relationships/hyperlink" Target="https://doi.org/10.1161/circresaha.116.306206" TargetMode="External"/><Relationship Id="rId57" Type="http://schemas.openxmlformats.org/officeDocument/2006/relationships/hyperlink" Target="https://doi.org/10.1097/mco.0000000000000183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BD19-3D89-4664-B1A7-C5ECE5A4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2278</Words>
  <Characters>19653</Characters>
  <Application>Microsoft Office Word</Application>
  <DocSecurity>0</DocSecurity>
  <Lines>163</Lines>
  <Paragraphs>43</Paragraphs>
  <ScaleCrop>false</ScaleCrop>
  <Company/>
  <LinksUpToDate>false</LinksUpToDate>
  <CharactersWithSpaces>21888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上酒 江</dc:creator>
  <cp:lastModifiedBy>Author</cp:lastModifiedBy>
  <cp:revision>163</cp:revision>
  <dcterms:created xsi:type="dcterms:W3CDTF">2024-11-27T08:26:00Z</dcterms:created>
  <dcterms:modified xsi:type="dcterms:W3CDTF">2026-06-10T10:11:00Z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eyJoZGlkIjoiMDY5NmFjMmM4ZTljMGJiZDAxN2JmYTc0NGI0NmFiNDgiLCJ1c2VySWQiOiI0MjAwMzcwMTMifQ==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34B2D23008E44BDDB64C546DBBDA7F2D_13</vt:lpwstr>
  </property>
</Properties>
</file>