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w:body>
    <w:p>
      <w:pPr>
        <w:spacing w:line="240" w:lineRule="auto" w:before="0" w:after="240"/>
      </w:pPr>
      <w:r>
        <w:rPr>
          <w:b/>
          <w:rFonts w:ascii="Times New Roman" w:hAnsi="Times New Roman"/>
          <w:sz w:val="24"/>
        </w:rPr>
        <w:t xml:space="preserve">EFFICACY OF MYOFASCIAL RELEASE COMPARED TO ISOMETRIC RELAXATION COMBINED WITH ACTIVE STRETCHING FOR RHOMBOID TRIGGER POINTS: A RANDOMIZED CONTROLLED PILOT STUDY</w:t>
      </w:r>
    </w:p>
    <w:p>
      <w:pPr>
        <w:spacing w:line="240" w:lineRule="auto" w:before="0" w:after="240"/>
      </w:pPr>
      <w:r>
        <w:rPr>
          <w:rFonts w:ascii="Times New Roman" w:hAnsi="Times New Roman"/>
          <w:sz w:val="24"/>
        </w:rPr>
        <w:t xml:space="preserve">Kaviyarasan,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Sathya Siva, MPT</w:t>
      </w:r>
      <w:r>
        <w:rPr>
          <w:rFonts w:ascii="Times New Roman" w:hAnsi="Times New Roman"/>
          <w:sz w:val="24"/>
        </w:rPr>
        <w:t xml:space="preserve">,</w:t>
      </w:r>
      <w:r>
        <w:rPr>
          <w:rFonts w:ascii="Times New Roman" w:hAnsi="Times New Roman"/>
          <w:sz w:val="24"/>
          <w:vertAlign w:val="superscript"/>
        </w:rPr>
        <w:t xml:space="preserve">2*</w:t>
      </w:r>
      <w:r>
        <w:rPr>
          <w:rFonts w:ascii="Times New Roman" w:hAnsi="Times New Roman"/>
          <w:sz w:val="24"/>
        </w:rPr>
        <w:t xml:space="preserve"> F. Khizar Husin,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D. Hareeshankar,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A. Fayaz,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Prathap Suganthirababu, PhD</w:t>
      </w:r>
      <w:r>
        <w:rPr>
          <w:rFonts w:ascii="Times New Roman" w:hAnsi="Times New Roman"/>
          <w:sz w:val="24"/>
        </w:rPr>
        <w:t xml:space="preserve">,</w:t>
      </w:r>
      <w:r>
        <w:rPr>
          <w:rFonts w:ascii="Times New Roman" w:hAnsi="Times New Roman"/>
          <w:sz w:val="24"/>
          <w:vertAlign w:val="superscript"/>
        </w:rPr>
        <w:t xml:space="preserve">3</w:t>
      </w:r>
    </w:p>
    <w:p>
      <w:pPr>
        <w:spacing w:line="240" w:lineRule="auto" w:before="0" w:after="240"/>
      </w:pPr>
      <w:r>
        <w:rPr>
          <w:rFonts w:ascii="Times New Roman" w:hAnsi="Times New Roman"/>
          <w:sz w:val="24"/>
        </w:rPr>
        <w:t xml:space="preserve">2. Department of Physiotherapy, Lecturer, Saveetha Institute of Medical and Technical Sciences, Chennai, India</w:t>
      </w:r>
    </w:p>
    <w:p>
      <w:pPr>
        <w:spacing w:line="240" w:lineRule="auto" w:before="0" w:after="240"/>
      </w:pPr>
      <w:r>
        <w:rPr>
          <w:b/>
          <w:rFonts w:ascii="Times New Roman" w:hAnsi="Times New Roman"/>
          <w:sz w:val="24"/>
        </w:rPr>
        <w:t xml:space="preserve">&lt;Running head&gt;</w:t>
      </w:r>
      <w:r>
        <w:rPr>
          <w:rFonts w:ascii="Times New Roman" w:hAnsi="Times New Roman"/>
          <w:sz w:val="24"/>
        </w:rPr>
        <w:t xml:space="preserve"> KHIZAR: EFFICACY OF MYOFASCIAL RELEASE COMPARED TO ISOMETRIC RELAXATION</w:t>
      </w:r>
    </w:p>
    <w:p>
      <w:pPr>
        <w:spacing w:line="240" w:lineRule="auto" w:before="0" w:after="240"/>
      </w:pPr>
      <w:r>
        <w:rPr>
          <w:b/>
          <w:rFonts w:ascii="Times New Roman" w:hAnsi="Times New Roman"/>
          <w:sz w:val="24"/>
        </w:rPr>
        <w:t xml:space="preserve">Corresponding Author:</w:t>
      </w:r>
      <w:r>
        <w:rPr>
          <w:rFonts w:ascii="Times New Roman" w:hAnsi="Times New Roman"/>
          <w:sz w:val="24"/>
        </w:rPr>
        <w:t xml:space="preserve"> ABSTRACT, 1. Department of Physiotherapy, Intern, Saveetha Institute of Medical and Technical Sciences, Chennai, India</w:t>
      </w:r>
      <w:r>
        <w:br/>
      </w:r>
      <w:r>
        <w:rPr>
          <w:b/>
          <w:rFonts w:ascii="Times New Roman" w:hAnsi="Times New Roman"/>
          <w:sz w:val="24"/>
        </w:rPr>
        <w:t xml:space="preserve">E-mail:</w:t>
      </w:r>
      <w:r>
        <w:rPr>
          <w:rFonts w:ascii="Times New Roman" w:hAnsi="Times New Roman"/>
          <w:sz w:val="24"/>
        </w:rPr>
        <w:t xml:space="preserve"> sathyasivakannan@gmail.com</w:t>
      </w:r>
      <w:r>
        <w:br/>
      </w:r>
      <w:r>
        <w:rPr>
          <w:rFonts w:ascii="Times New Roman" w:hAnsi="Times New Roman"/>
          <w:sz w:val="24"/>
        </w:rPr>
        <w:t xml:space="preserve">Tel: +91 9884579620</w:t>
      </w:r>
    </w:p>
    <w:p>
      <w:pPr>
        <w:spacing w:line="240" w:lineRule="auto" w:before="0" w:after="240"/>
      </w:pPr>
      <w:r>
        <w:rPr>
          <w:rFonts w:ascii="Times New Roman" w:hAnsi="Times New Roman"/>
          <w:sz w:val="24"/>
        </w:rPr>
        <w:t xml:space="preserve">3. Department of Physiotherapy, Principal, Saveetha Institute of Medical and Technical Sciences, Chennai, India</w:t>
      </w:r>
    </w:p>
    <w:p>
      <w:pPr>
        <w:spacing w:line="240" w:lineRule="auto" w:before="0" w:after="240"/>
      </w:pPr>
      <w:r>
        <w:rPr>
          <w:rFonts w:ascii="Times New Roman" w:hAnsi="Times New Roman"/>
          <w:sz w:val="24"/>
        </w:rPr>
        <w:t xml:space="preserve">Sathya Siva</w:t>
      </w:r>
    </w:p>
    <w:p>
      <w:pPr>
        <w:spacing w:line="240" w:lineRule="auto" w:before="0" w:after="240"/>
      </w:pPr>
      <w:r>
        <w:rPr>
          <w:rFonts w:ascii="Times New Roman" w:hAnsi="Times New Roman"/>
          <w:sz w:val="24"/>
        </w:rPr>
        <w:t xml:space="preserve">Saveetha College Of Physiotherapy, Chennai, India</w:t>
      </w:r>
    </w:p>
    <w:p>
      <w:pPr>
        <w:spacing w:line="240" w:lineRule="auto" w:before="0" w:after="240"/>
      </w:pPr>
      <w:r>
        <w:rPr>
          <w:rFonts w:ascii="Times New Roman" w:hAnsi="Times New Roman"/>
          <w:sz w:val="24"/>
        </w:rPr>
        <w:t xml:space="preserve">Saveetha Institute of Medical and Technical Sciences, Chennai, India</w:t>
      </w:r>
    </w:p>
    <w:p>
      <w:pPr>
        <w:spacing w:line="240" w:lineRule="auto" w:before="0" w:after="240"/>
      </w:pPr>
      <w:r>
        <w:rPr>
          <w:rFonts w:ascii="Times New Roman" w:hAnsi="Times New Roman"/>
          <w:sz w:val="24"/>
        </w:rPr>
        <w:t xml:space="preserve">Author Contributions:</w:t>
      </w:r>
    </w:p>
    <w:p>
      <w:pPr>
        <w:spacing w:line="240" w:lineRule="auto" w:before="0" w:after="240"/>
      </w:pPr>
      <w:r>
        <w:rPr>
          <w:rFonts w:ascii="Times New Roman" w:hAnsi="Times New Roman"/>
          <w:sz w:val="24"/>
        </w:rPr>
        <w:t xml:space="preserve">Study design/planning: P. Kaviyarasan, Sathya Siva, Prathap Suganthirababu. Data collection/entry: D. Hareeshankar, Fayaz.A. Data analysis/statistics: Sathya Siva. Data interpretation: Sathya Siva ,Prathap Suganthirababu. Preparation of manuscript: Khizar Husin F, Sathya Siva. Literature analysis/search: D. Hareeshankar, Fayaz.A.</w:t>
      </w:r>
    </w:p>
    <w:p>
      <w:pPr>
        <w:spacing w:line="240" w:lineRule="auto" w:before="0" w:after="240"/>
      </w:pPr>
      <w:r>
        <w:rPr>
          <w:rFonts w:ascii="Times New Roman" w:hAnsi="Times New Roman"/>
          <w:sz w:val="24"/>
        </w:rPr>
        <w:t xml:space="preserve">Background: Myofascial trigger points (MTrPs) in the rhomboid muscles contribute to pain, muscle tightness and restricted movement, impacting quality of life. Various interventions, including Myofascial Release (MFR) and Isometric Relaxation (IR) have been used to alleviate symptoms.</w:t>
      </w:r>
    </w:p>
    <w:p>
      <w:pPr>
        <w:spacing w:line="240" w:lineRule="auto" w:before="0" w:after="240"/>
      </w:pPr>
      <w:r>
        <w:rPr>
          <w:rFonts w:ascii="Times New Roman" w:hAnsi="Times New Roman"/>
          <w:sz w:val="24"/>
        </w:rPr>
        <w:t xml:space="preserve">Aim: This pilot study aims to explore the feasibility and preliminary efficacy of myofascial release combined with active stretching versus isometric relaxation combined with active stretching in the management of rhomboid MTrPs, with the goal of informing the design of future full-scale studies.</w:t>
      </w:r>
    </w:p>
    <w:p>
      <w:pPr>
        <w:spacing w:line="240" w:lineRule="auto" w:before="0" w:after="240"/>
      </w:pPr>
      <w:r>
        <w:rPr>
          <w:rFonts w:ascii="Times New Roman" w:hAnsi="Times New Roman"/>
          <w:sz w:val="24"/>
        </w:rPr>
        <w:t xml:space="preserve">Methods: A randomized controlled trial was conducted with 50 participants diagnosed with rhomboid MTrPs. Participants were assigned to two groups: Group A (MFR with active stretching) and Group B (IR with active stretching). Interventions were administered for four weeks (five sessions per week). Pre- and post-intervention assessments were conducted using the Numerical Pain Rating Scale (NPRS) and goniometric measurements of range of motion (ROM). Statistical analysis was performed using the Wilcoxon method and Mann-Whitney U test via SPSS Version 27.</w:t>
      </w:r>
    </w:p>
    <w:p>
      <w:pPr>
        <w:spacing w:line="240" w:lineRule="auto" w:before="0" w:after="240"/>
      </w:pPr>
      <w:r>
        <w:rPr>
          <w:rFonts w:ascii="Times New Roman" w:hAnsi="Times New Roman"/>
          <w:sz w:val="24"/>
        </w:rPr>
        <w:t xml:space="preserve">Results: After four weeks, Group A showed a statistically and clinically significant reduction in NPRS scores from 7.28 ± 0.737 to 5.28 ± 1.061 (p &lt; 0.001, r = 0.59), exceeding the established Minimal Clinically Important Difference (MCID) of 2 points for the Numeric Pain Rating Scale. In contrast, Group B showed a smaller reduction from 7.16 ± 0.800 to 6.44 ± 1.003 (p &lt; 0.001, r = 0.57), which, although statistically significant, did not meet the MCID threshold, suggesting limited clinical relevance. Similarly, ROM improved in Group A from 47.16 ± 1.675 to 52.12 ± 1.616 (p &lt; 0.001, r = 0.63) and in Group B from 47.36 ± 1.777 to 48.88 ± 2.147 (p &lt; 0.001, r = 0.56). Group A demonstrated greater improvement in both pain reduction and mobility.</w:t>
      </w:r>
    </w:p>
    <w:p>
      <w:pPr>
        <w:spacing w:line="240" w:lineRule="auto" w:before="0" w:after="240"/>
      </w:pPr>
      <w:r>
        <w:rPr>
          <w:rFonts w:ascii="Times New Roman" w:hAnsi="Times New Roman"/>
          <w:sz w:val="24"/>
        </w:rPr>
        <w:t xml:space="preserve">Conclusion: This study concluded that both treatments were successful in addressing rhomboid trigger points. MFR combined with active stretching demonstrated greater pain reduction and improved flexibility. These findings suggest MFR with active stretching may be a valuable addition to clinical practice guidelines for managing rhomboid trigger points.</w:t>
      </w:r>
    </w:p>
    <w:p>
      <w:pPr>
        <w:spacing w:line="240" w:lineRule="auto" w:before="0" w:after="240"/>
      </w:pPr>
      <w:r>
        <w:rPr>
          <w:rFonts w:ascii="Times New Roman" w:hAnsi="Times New Roman"/>
          <w:sz w:val="24"/>
        </w:rPr>
        <w:t xml:space="preserve">Keywords: Isometric relaxation; Myofascial release technique; Randomized controlled trial; Rhomboids; Stretching</w:t>
      </w:r>
    </w:p>
    <w:p>
      <w:pPr>
        <w:pStyle w:val="Heading1"/>
        <w:spacing w:line="240" w:lineRule="auto" w:before="0" w:after="240"/>
      </w:pPr>
      <w:r>
        <w:rPr>
          <w:b/>
          <w:rFonts w:ascii="Times New Roman" w:hAnsi="Times New Roman"/>
          <w:sz w:val="24"/>
        </w:rPr>
        <w:t xml:space="preserve">INTRODUCTION:</w:t>
      </w:r>
    </w:p>
    <w:p>
      <w:pPr>
        <w:spacing w:line="240" w:lineRule="auto" w:before="0" w:after="240"/>
      </w:pPr>
      <w:r>
        <w:rPr>
          <w:rFonts w:ascii="Times New Roman" w:hAnsi="Times New Roman"/>
          <w:sz w:val="24"/>
        </w:rPr>
        <w:t xml:space="preserve">A myofascial trigger point (MTrP), sometimes referred to as a trigger point, is an irritable point that is usually found in the muscle fascia or within a taut skeletal muscle band. The disorder is characterized by discomfort and restricted movement resulting from the constriction of these trigger points (1). MTrPs (MTrPs) may play a role in the onset and maintenance of various conditions, which have multiple contributory components and complex etiologies (2).</w:t>
      </w:r>
    </w:p>
    <w:p>
      <w:pPr>
        <w:spacing w:line="240" w:lineRule="auto" w:before="0" w:after="240"/>
      </w:pPr>
      <w:r>
        <w:rPr>
          <w:rFonts w:ascii="Times New Roman" w:hAnsi="Times New Roman"/>
          <w:sz w:val="24"/>
        </w:rPr>
        <w:t xml:space="preserve">MTrPs are believed to develop due to factors such as postural imbalance, psychological stress, muscle overuse or repetitive strain injuries. According to John Z. Srbely et al., an "energy crisis" involving ATP depletion may occur within the muscle, leading to sustained contracture and reduced capillary circulation, which creates a hypoxic environment that impairs normal muscle relaxation. Myofascial pain is highly prevalent, affecting approximately 85% of individuals at some point in their lives. It contributes significantly to musculoskeletal discomfort worldwide, with neck and upper back pain being among the most commonly reported complaints. Rhomboid MTrPs in particular can lead to restricted shoulder movement and persistent upper back pain. and a reduced quality of life, underscoring the need for effective treatment strategies (3-6).</w:t>
      </w:r>
    </w:p>
    <w:p>
      <w:pPr>
        <w:spacing w:line="240" w:lineRule="auto" w:before="0" w:after="240"/>
      </w:pPr>
      <w:r>
        <w:rPr>
          <w:rFonts w:ascii="Times New Roman" w:hAnsi="Times New Roman"/>
          <w:sz w:val="24"/>
        </w:rPr>
        <w:t xml:space="preserve">Myofascial Release (MFR) is a method for mobilizing soft tissues. This phenomenon is characterized by "myofascial system-mediated interfaces that provide mechanical, neurological,and psycho-physiological adaptive potential”(7-10). MFR therapy manipulates the myofascial complex using precisely guided low-load, long-duration mechanical pressures with the goals of restoring optimum length, reducing discomfort and enhancing function (11). MFR breaks down adhesions by using manual traction and extended muscle and fascia stretching, which reduces discomfort and improves flexibility, thereby increasing the Range Of Motion (ROM) (12). Myofascial practitioners, according to Stanborough et al., believe that pressure on pain-sensitive tissues like blood vessels and nerves can be reduced by reestablishing the length and health of constricted connective tissue. The two most common methods of MFR use are the direct technique and the indirect technique (13). Active stretching on the other hand, encourages flexibility and relaxation by having the patient actively move a muscle into a stretched posture. Clinical practice has employed both strategies to treat MTrPs; however, little research has been done on the effectiveness of MFR and active stretching together, particularly for rhomboid MTrPs (14-15).</w:t>
      </w:r>
    </w:p>
    <w:p>
      <w:pPr>
        <w:spacing w:line="240" w:lineRule="auto" w:before="0" w:after="240"/>
      </w:pPr>
      <w:r>
        <w:rPr>
          <w:rFonts w:ascii="Times New Roman" w:hAnsi="Times New Roman"/>
          <w:sz w:val="24"/>
        </w:rPr>
        <w:t xml:space="preserve">Despite the clinical relevance of MFR and active stretching in treating MTrPs, a significant gap exists in the literature regarding their combined use, particularly when compared with other commonly used interventions, such as Isometric Relaxation (IR) techniques. Previous studies have primarily focused on isolated techniques or examined other muscle groups, leaving a lack of data specific to the rhomboid region. Furthermore, few head-to-head comparisons exist evaluating the relative efficacy of MFR and IR, both in conjunction with active stretching. This study addresses this gap by investigating the comparative effectiveness of MFR versus IR techniques, each combined with active stretching, in the management of rhomboid MTrPs. By providing direct evidence on the relative benefits of these interventions, the findings may help inform and refine clinical strategies for a more targeted and effective treatment of rhomboid trigger points.</w:t>
      </w:r>
    </w:p>
    <w:p>
      <w:pPr>
        <w:spacing w:line="240" w:lineRule="auto" w:before="0" w:after="240"/>
      </w:pPr>
      <w:r>
        <w:rPr>
          <w:rFonts w:ascii="Times New Roman" w:hAnsi="Times New Roman"/>
          <w:sz w:val="24"/>
        </w:rPr>
        <w:t xml:space="preserve">The primary objectives of this study were to determine the effectiveness of the MFR technique combined with active stretching in reducing pain and improving functional activity and to assess the effectiveness of IR combined with active stretching in achieving similar outcomes. The secondary objective was to analyze and compare the overall efficacy of both intervention approaches in treating rhomboid MTrPs .</w:t>
      </w:r>
    </w:p>
    <w:p>
      <w:pPr>
        <w:pStyle w:val="Heading1"/>
        <w:spacing w:line="240" w:lineRule="auto" w:before="0" w:after="240"/>
      </w:pPr>
      <w:r>
        <w:rPr>
          <w:b/>
          <w:rFonts w:ascii="Times New Roman" w:hAnsi="Times New Roman"/>
          <w:sz w:val="24"/>
        </w:rPr>
        <w:t xml:space="preserve">METHODOLOGY:</w:t>
      </w:r>
    </w:p>
    <w:p>
      <w:pPr>
        <w:spacing w:line="240" w:lineRule="auto" w:before="0" w:after="240"/>
      </w:pPr>
      <w:r>
        <w:rPr>
          <w:rFonts w:ascii="Times New Roman" w:hAnsi="Times New Roman"/>
          <w:sz w:val="24"/>
        </w:rPr>
        <w:t xml:space="preserve">Study Design and Ethical Considerations:
This research was conducted as a pilot randomized controlled trial (RCT). Ethical approval was granted by the Institutional Scientific Review Board of Saveetha Institute of Medical and Technical Sciences, Chennai, India, with the approval number 417/07/2024/ISRB/UGSR/SCPT. The study adhered to the guidelines outlined in the CONSORT 2010 statement: extension for randomized pilot and feasibility trials (refer to Figure 1).</w:t>
      </w:r>
    </w:p>
    <w:p>
      <w:pPr>
        <w:spacing w:line="240" w:lineRule="auto" w:before="0" w:after="240"/>
      </w:pPr>
      <w:r>
        <w:rPr>
          <w:rFonts w:ascii="Times New Roman" w:hAnsi="Times New Roman"/>
          <w:sz w:val="24"/>
        </w:rPr>
        <w:t xml:space="preserve">Research Question:</w:t>
      </w:r>
    </w:p>
    <w:p>
      <w:pPr>
        <w:spacing w:line="240" w:lineRule="auto" w:before="0" w:after="240"/>
      </w:pPr>
      <w:r>
        <w:rPr>
          <w:rFonts w:ascii="Times New Roman" w:hAnsi="Times New Roman"/>
          <w:sz w:val="24"/>
        </w:rPr>
        <w:t xml:space="preserve">The research question was confirmed with FINER Criteria ( Feasible: A pilot study is appropriate to test the methods and assess practicality in terms of participants and resources, Interesting: It addresses a common issue—rhomboid trigger points—and compares two therapeutic techniques, which could inform clinical practice, Novel: comparing of MFR and IR with active stretching Ethical: Ethical approval and informed consent will ensure participant safety and well-being, Relevant: The study is highly relevant to physical therapy, with potential to improve treatment choices for trigger points) and Framed using PICO Criteria (Population, Intervention, Comparison, Outcome).</w:t>
      </w:r>
    </w:p>
    <w:p>
      <w:pPr>
        <w:spacing w:line="240" w:lineRule="auto" w:before="0" w:after="240"/>
      </w:pPr>
      <w:r>
        <w:rPr>
          <w:rFonts w:ascii="Times New Roman" w:hAnsi="Times New Roman"/>
          <w:sz w:val="24"/>
        </w:rPr>
        <w:t xml:space="preserve">P-Patients with rhomboid trigger points.</w:t>
      </w:r>
    </w:p>
    <w:p>
      <w:pPr>
        <w:spacing w:line="240" w:lineRule="auto" w:before="0" w:after="240"/>
      </w:pPr>
      <w:r>
        <w:rPr>
          <w:rFonts w:ascii="Times New Roman" w:hAnsi="Times New Roman"/>
          <w:sz w:val="24"/>
        </w:rPr>
        <w:t xml:space="preserve">I- MFR combined with an active stretching protocol.</w:t>
      </w:r>
    </w:p>
    <w:p>
      <w:pPr>
        <w:spacing w:line="240" w:lineRule="auto" w:before="0" w:after="240"/>
      </w:pPr>
      <w:r>
        <w:rPr>
          <w:rFonts w:ascii="Times New Roman" w:hAnsi="Times New Roman"/>
          <w:sz w:val="24"/>
        </w:rPr>
        <w:t xml:space="preserve">C- Comparing MFR combined with active stretching versus IR combined with active stretching.</w:t>
      </w:r>
    </w:p>
    <w:p>
      <w:pPr>
        <w:spacing w:line="240" w:lineRule="auto" w:before="0" w:after="240"/>
      </w:pPr>
      <w:r>
        <w:rPr>
          <w:rFonts w:ascii="Times New Roman" w:hAnsi="Times New Roman"/>
          <w:sz w:val="24"/>
        </w:rPr>
        <w:t xml:space="preserve">O-NPRS, Goniometer.</w:t>
      </w:r>
    </w:p>
    <w:p>
      <w:pPr>
        <w:spacing w:line="240" w:lineRule="auto" w:before="0" w:after="240"/>
      </w:pPr>
      <w:r>
        <w:rPr>
          <w:rFonts w:ascii="Times New Roman" w:hAnsi="Times New Roman"/>
          <w:sz w:val="24"/>
        </w:rPr>
        <w:t xml:space="preserve">Research question statement:</w:t>
      </w:r>
    </w:p>
    <w:p>
      <w:pPr>
        <w:spacing w:line="240" w:lineRule="auto" w:before="0" w:after="240"/>
      </w:pPr>
      <w:r>
        <w:rPr>
          <w:rFonts w:ascii="Times New Roman" w:hAnsi="Times New Roman"/>
          <w:sz w:val="24"/>
        </w:rPr>
        <w:t xml:space="preserve">1. Is the MFR technique combined with active stretching effective in reducing pain and improving functional activity in individuals with rhomboid trigger points?</w:t>
      </w:r>
    </w:p>
    <w:p>
      <w:pPr>
        <w:spacing w:line="240" w:lineRule="auto" w:before="0" w:after="240"/>
      </w:pPr>
      <w:r>
        <w:rPr>
          <w:rFonts w:ascii="Times New Roman" w:hAnsi="Times New Roman"/>
          <w:sz w:val="24"/>
        </w:rPr>
        <w:t xml:space="preserve">2. Is Post-Isometric Rlaxation (PIR) combined with active stretching effective in reducing pain and improving functional activity in individuals with rhomboid trigger points?</w:t>
      </w:r>
    </w:p>
    <w:p>
      <w:pPr>
        <w:spacing w:line="240" w:lineRule="auto" w:before="0" w:after="240"/>
      </w:pPr>
      <w:r>
        <w:rPr>
          <w:rFonts w:ascii="Times New Roman" w:hAnsi="Times New Roman"/>
          <w:sz w:val="24"/>
        </w:rPr>
        <w:t xml:space="preserve">Participants</w:t>
      </w:r>
    </w:p>
    <w:p>
      <w:pPr>
        <w:spacing w:line="240" w:lineRule="auto" w:before="0" w:after="240"/>
      </w:pPr>
      <w:r>
        <w:rPr>
          <w:rFonts w:ascii="Times New Roman" w:hAnsi="Times New Roman"/>
          <w:sz w:val="24"/>
        </w:rPr>
        <w:t xml:space="preserve">This pilot study was conducted in the Physiotherapy Department at Saveetha Hospital, Chennai, India, over a six-week period from the second week of August to the third week of September. A total of 50 participants were selected using a simple random sampling technique from the staff of Saveetha Institute, including personnel from the reception, information technology, and building maintenance departments who met the inclusion criteria.</w:t>
      </w:r>
    </w:p>
    <w:p>
      <w:pPr>
        <w:spacing w:line="240" w:lineRule="auto" w:before="0" w:after="240"/>
      </w:pPr>
      <w:r>
        <w:rPr>
          <w:rFonts w:ascii="Times New Roman" w:hAnsi="Times New Roman"/>
          <w:sz w:val="24"/>
        </w:rPr>
        <w:t xml:space="preserve">Participants aged 18 to 65 years, of both genders, were eligible for inclusion if they presented with localized pain in the rhomboid muscle region, specifically between the scapula and the spine. The presence of MTrPs was confirmed through physical examination, which included palpation for taut bands, localized tenderness and reproduction of referred pain patterns characteristic of rhomboid trigger points. Additional inclusion criteria included acute pain lasting less than three months and a pain score ranging from 5 to 8 on the Numeric Pain Rating Scale (NPRS). Participants were excluded if they had a history of upper back surgery, neurological disorders such as cervical radiculopathy, were currently using pain medication, had skin infections or dermatological conditions that could interfere with treatment, or had cognitive impairments that could hinder participation or the ability to provide informed consent.</w:t>
      </w:r>
    </w:p>
    <w:p>
      <w:pPr>
        <w:spacing w:line="240" w:lineRule="auto" w:before="0" w:after="240"/>
      </w:pPr>
      <w:r>
        <w:rPr>
          <w:rFonts w:ascii="Times New Roman" w:hAnsi="Times New Roman"/>
          <w:sz w:val="24"/>
        </w:rPr>
        <w:t xml:space="preserve">Eligible individuals were assigned unique identification numbers and randomly selected using a computer-generated method via Microsoft Excel’s RAND function to ensure unbiased participant selection and allocation. Written informed consent was obtained from all participants prior to their inclusion in the study.</w:t>
      </w:r>
    </w:p>
    <w:p>
      <w:pPr>
        <w:spacing w:line="240" w:lineRule="auto" w:before="0" w:after="240"/>
      </w:pPr>
      <w:r>
        <w:rPr>
          <w:rFonts w:ascii="Times New Roman" w:hAnsi="Times New Roman"/>
          <w:sz w:val="24"/>
        </w:rPr>
        <w:t xml:space="preserve">The sample size of 50 participants (25 per group) was chosen based on recommendations for pilot and feasibility studies, which commonly suggest enrolling 24 to 50 participants (16). This number was considered adequate to allow for a preliminary evaluation of intervention effects, estimation of variability, and assessment of recruitment and retention procedures (16). The study aimed to explore the feasibility and preliminary efficacy of MFR combined with active stretching versus IR combined with active stretching in the management of rhomboid MTrPs, to inform the design of future full-scale studies.</w:t>
      </w:r>
    </w:p>
    <w:p>
      <w:pPr>
        <w:spacing w:line="240" w:lineRule="auto" w:before="0" w:after="240"/>
      </w:pPr>
      <w:r>
        <w:rPr>
          <w:rFonts w:ascii="Times New Roman" w:hAnsi="Times New Roman"/>
          <w:sz w:val="24"/>
        </w:rPr>
        <w:t xml:space="preserve">Participants were randomly divided into two equal groups (n = 25 each) using a computer-generated randomization method. Group A received the MFR technique combined with active stretching, while Group B received IR combined with active stretching. The stretching protocol included exercises such as the scapular protraction stretch, dynamic hug stretch, standing wall stretch and seated upper back stretch. Baseline demographic data was collected from all participants before the commencement of the intervention (Table 1).</w:t>
      </w:r>
    </w:p>
    <w:p>
      <w:pPr>
        <w:spacing w:line="240" w:lineRule="auto" w:before="0" w:after="240"/>
      </w:pPr>
      <w:r>
        <w:rPr>
          <w:rFonts w:ascii="Times New Roman" w:hAnsi="Times New Roman"/>
          <w:sz w:val="24"/>
        </w:rPr>
        <w:t xml:space="preserve">Interventions:</w:t>
      </w:r>
    </w:p>
    <w:p>
      <w:pPr>
        <w:spacing w:line="240" w:lineRule="auto" w:before="0" w:after="240"/>
      </w:pPr>
      <w:r>
        <w:rPr>
          <w:rFonts w:ascii="Times New Roman" w:hAnsi="Times New Roman"/>
          <w:sz w:val="24"/>
        </w:rPr>
        <w:t xml:space="preserve">The study population included subjects who experienced discomfort in the rhomboids, as determined by the inclusion and exclusion criteria. Informed consent was obtained after the study procedure was explained. The subjects were allocated into 2 groups, Group A received MFR with active stretching, while Group B received the IR exercise with active stretching. Both groups received an intervention. Pre- and Post-test outcome measures were analyzed.</w:t>
      </w:r>
    </w:p>
    <w:p>
      <w:pPr>
        <w:spacing w:line="240" w:lineRule="auto" w:before="0" w:after="240"/>
      </w:pPr>
      <w:r>
        <w:rPr>
          <w:rFonts w:ascii="Times New Roman" w:hAnsi="Times New Roman"/>
          <w:sz w:val="24"/>
        </w:rPr>
        <w:t xml:space="preserve">Group A:</w:t>
      </w:r>
    </w:p>
    <w:p>
      <w:pPr>
        <w:spacing w:line="240" w:lineRule="auto" w:before="0" w:after="240"/>
      </w:pPr>
      <w:r>
        <w:rPr>
          <w:rFonts w:ascii="Times New Roman" w:hAnsi="Times New Roman"/>
          <w:sz w:val="24"/>
        </w:rPr>
        <w:t xml:space="preserve">In this group, the subject received MFR technique combined with active stretching, administered by a physiotherapist with five years of experience. The treatment procedure is described below.</w:t>
      </w:r>
    </w:p>
    <w:p>
      <w:pPr>
        <w:spacing w:line="240" w:lineRule="auto" w:before="0" w:after="240"/>
      </w:pPr>
      <w:r>
        <w:rPr>
          <w:rFonts w:ascii="Times New Roman" w:hAnsi="Times New Roman"/>
          <w:sz w:val="24"/>
        </w:rPr>
        <w:t xml:space="preserve">The MFR technique was performed in three cycles per session, with each participant receiving five sessions per week over a four-week period. (1).</w:t>
      </w:r>
    </w:p>
    <w:p>
      <w:pPr>
        <w:spacing w:line="240" w:lineRule="auto" w:before="0" w:after="240"/>
      </w:pPr>
      <w:r>
        <w:rPr>
          <w:rFonts w:ascii="Times New Roman" w:hAnsi="Times New Roman"/>
          <w:sz w:val="24"/>
        </w:rPr>
        <w:t xml:space="preserve">To release a rhomboid trigger point, the patient was prone on a treatment table or sitting upright, depending on their comfort and accessibility to the affected area. The therapist began by palpating the rhomboid muscles, located between the scapulae and the spine, to identify taut bands or hypersensitive areas. The diagnosis of a MTrP was based on the criteria described by Travell and Simons, which include the presence of a taut band within the muscle, a hypersensitive tender spot within that band, reproduction of the patient's referred pain pattern upon palpation, and a local twitch response. These features together distinguish a trigger point from a simple tender point. Once located, firm and sustained pressure is applied using fingers, knuckles or an elbow, gradually increasing to a tolerable level for the patient. The therapist guided the patient through slow scapular movements, such as protraction and retraction or gently moved the patient’s arm to stretch the rhomboids while maintaining pressure. The pressure was held for 20–30 seconds or until the tension started to release, then gradually reduced. This process was repeated 3 times to address different trigger points if necessary. One minute rest was given between each cycle (1).</w:t>
      </w:r>
    </w:p>
    <w:p>
      <w:pPr>
        <w:spacing w:line="240" w:lineRule="auto" w:before="0" w:after="240"/>
      </w:pPr>
      <w:r>
        <w:rPr>
          <w:rFonts w:ascii="Times New Roman" w:hAnsi="Times New Roman"/>
          <w:sz w:val="24"/>
        </w:rPr>
        <w:t xml:space="preserve">Active stretching was administered in three sets per session, with five sessions conducted each week over a period of four weeks. (17)</w:t>
      </w:r>
    </w:p>
    <w:p>
      <w:pPr>
        <w:spacing w:line="240" w:lineRule="auto" w:before="0" w:after="240"/>
      </w:pPr>
      <w:r>
        <w:rPr>
          <w:rFonts w:ascii="Times New Roman" w:hAnsi="Times New Roman"/>
          <w:sz w:val="24"/>
        </w:rPr>
        <w:t xml:space="preserve">Scapular Protraction Stretch: The subject began in a seated or standing position. The arms were extended forward at shoulder height, with fingers interlocked or one hand placed over the other. The subject pushed the arms away from the body while rounding the upper back, allowing the shoulder blades to move apart (protraction). The chin was kept slightly tucked and the stretch was held for 20–30 seconds. This was repeated 3 times, with 30 seconds of rest given after each repetition.</w:t>
      </w:r>
    </w:p>
    <w:p>
      <w:pPr>
        <w:spacing w:line="240" w:lineRule="auto" w:before="0" w:after="240"/>
      </w:pPr>
      <w:r>
        <w:rPr>
          <w:rFonts w:ascii="Times New Roman" w:hAnsi="Times New Roman"/>
          <w:sz w:val="24"/>
        </w:rPr>
        <w:t xml:space="preserve">Dynamic Hug Stretch: The subject stood or sat upright, with arms extended out to the sides at shoulder height. The arms were slowly brought forward in a sweeping motion, crossing one arm over the other at chest level. A stretch was felt in the upper back and between the shoulder blades. The arms were then released and returned to the starting position, alternating which arm crossed over the other with each repetition. Three slow, controlled repetitions were performed, with 30 seconds of rest given after each repetition.</w:t>
      </w:r>
    </w:p>
    <w:p>
      <w:pPr>
        <w:spacing w:line="240" w:lineRule="auto" w:before="0" w:after="240"/>
      </w:pPr>
      <w:r>
        <w:rPr>
          <w:rFonts w:ascii="Times New Roman" w:hAnsi="Times New Roman"/>
          <w:sz w:val="24"/>
        </w:rPr>
        <w:t xml:space="preserve">Standing Wall Stretch: The subject faced a wall and placed their hands on it at shoulder height, keeping the arms straight. They slowly stepped back, leaning their torso forward while keeping their hands firmly planted on the wall. The chest was lowered, allowing the shoulder blades to stretch apart gently. This position was held for 20–30 seconds, ensuring the head remained in line with the spine. The stretch was repeated 3 times, with 30 seconds of rest given after each repetition.</w:t>
      </w:r>
    </w:p>
    <w:p>
      <w:pPr>
        <w:spacing w:line="240" w:lineRule="auto" w:before="0" w:after="240"/>
      </w:pPr>
      <w:r>
        <w:rPr>
          <w:rFonts w:ascii="Times New Roman" w:hAnsi="Times New Roman"/>
          <w:sz w:val="24"/>
        </w:rPr>
        <w:t xml:space="preserve">Seated Upper Back Stretch: The subject sat on a chair, crossed the arms in front and rested the hands-on opposite shoulders or hugged the torso. They leaned forward slightly, rounding the upper back while tucking the chin to the chest. A stretch was felt along the upper back and between the shoulder blades. The stretch was held for 20–30 seconds before returning to an upright position. This was repeated 3 times, with 30 seconds of rest given after each repetition.</w:t>
      </w:r>
    </w:p>
    <w:p>
      <w:pPr>
        <w:spacing w:line="240" w:lineRule="auto" w:before="0" w:after="240"/>
      </w:pPr>
      <w:r>
        <w:rPr>
          <w:rFonts w:ascii="Times New Roman" w:hAnsi="Times New Roman"/>
          <w:sz w:val="24"/>
        </w:rPr>
        <w:t xml:space="preserve">Group B:</w:t>
      </w:r>
    </w:p>
    <w:p>
      <w:pPr>
        <w:spacing w:line="240" w:lineRule="auto" w:before="0" w:after="240"/>
      </w:pPr>
      <w:r>
        <w:rPr>
          <w:rFonts w:ascii="Times New Roman" w:hAnsi="Times New Roman"/>
          <w:sz w:val="24"/>
        </w:rPr>
        <w:t xml:space="preserve">In this group, the subject underwent IR combined with active stretching, administered by a physiotherapist with five years of clinical experience. The treatment procedure is outlined below.</w:t>
      </w:r>
    </w:p>
    <w:p>
      <w:pPr>
        <w:spacing w:line="240" w:lineRule="auto" w:before="0" w:after="240"/>
      </w:pPr>
      <w:r>
        <w:rPr>
          <w:rFonts w:ascii="Times New Roman" w:hAnsi="Times New Roman"/>
          <w:sz w:val="24"/>
        </w:rPr>
        <w:t xml:space="preserve">IR was performed in three sets per session, with five sessions per week over a four-week period. (17).</w:t>
      </w:r>
    </w:p>
    <w:p>
      <w:pPr>
        <w:spacing w:line="240" w:lineRule="auto" w:before="0" w:after="240"/>
      </w:pPr>
      <w:r>
        <w:rPr>
          <w:rFonts w:ascii="Times New Roman" w:hAnsi="Times New Roman"/>
          <w:sz w:val="24"/>
        </w:rPr>
        <w:t xml:space="preserve">The patient performed an isometric contraction of the affected muscle (in this case, the rhomboid), meaning the muscle is engaged without changing its length. This contraction is usually maintained for approximately 5 to 10 seconds. Post-isometric relaxation is then facilitated, typically by applying a counterforce provided by the therapist. After the contraction, the muscle is allowed to relax completely. This relaxation phase helps reduce muscle tension and alleviate discomfort associated with trigger points. The contraction and relaxation cycle was repeated several times, often 3 to 5 repetitions, to achieve optimal results. A one-minute rest was given between each set.</w:t>
      </w:r>
    </w:p>
    <w:p>
      <w:pPr>
        <w:spacing w:line="240" w:lineRule="auto" w:before="0" w:after="240"/>
      </w:pPr>
      <w:r>
        <w:rPr>
          <w:rFonts w:ascii="Times New Roman" w:hAnsi="Times New Roman"/>
          <w:sz w:val="24"/>
        </w:rPr>
        <w:t xml:space="preserve">Active stretching for this group was performed according to the same protocol used for group A.</w:t>
      </w:r>
    </w:p>
    <w:p>
      <w:pPr>
        <w:spacing w:line="240" w:lineRule="auto" w:before="0" w:after="240"/>
      </w:pPr>
      <w:r>
        <w:rPr>
          <w:rFonts w:ascii="Times New Roman" w:hAnsi="Times New Roman"/>
          <w:sz w:val="24"/>
        </w:rPr>
        <w:t xml:space="preserve">Outcome Measure: All subjects were assessed using the Numerical Pain Rating Scale (NPRS) and Goniometer, both before and after the intervention (1st day and after 4 weeks of intervention).The outcome measures were administered by a trained physiotherapist who was blinded to the group allocation to reduce assessment bias.</w:t>
      </w:r>
    </w:p>
    <w:p>
      <w:pPr>
        <w:spacing w:line="240" w:lineRule="auto" w:before="0" w:after="240"/>
      </w:pPr>
      <w:r>
        <w:rPr>
          <w:rFonts w:ascii="Times New Roman" w:hAnsi="Times New Roman"/>
          <w:sz w:val="24"/>
        </w:rPr>
        <w:t xml:space="preserve">The NPRS is a widely used tool for assessing the level of pain that patients, particularly those with chronic conditions, are experiencing. This scale typically takes the form of a horizontal line with numbers ranging from 0 to 10. From 0 (no pain) to 10 (the most agonizing anguish possible), each number indicates a different degree of pain intensity. When given a time period, often the last 24 hours, subjects are asked to select the number that best captures their level of pain at that time. The NPRS is favoured as a universal instrument for assessing the degree of pain due to its ease of use and simplicity, even if its primary focus is on measuring pain rather than discussing its qualitative characteristics. The Minimal Clinically Important Difference (MCID) for the NPRS is 2 points, meaning a change of 2 or more points is considered clinically significant Chaves TC et., (2024) (18).</w:t>
      </w:r>
    </w:p>
    <w:p>
      <w:pPr>
        <w:spacing w:line="240" w:lineRule="auto" w:before="0" w:after="240"/>
      </w:pPr>
      <w:r>
        <w:rPr>
          <w:rFonts w:ascii="Times New Roman" w:hAnsi="Times New Roman"/>
          <w:sz w:val="24"/>
        </w:rPr>
        <w:t xml:space="preserve">A goniometer is a device used to measure the ROM of joints, providing essential data for assessing joint function and guiding rehabilitation. In this study, a goniometer was used to measure shoulder elevation in the scapular plane (scaption). The patient was instructed to raise the arm in the scapular plane—approximately 30–45° anterior to the frontal plane—while keeping the elbow extended. The axis of the goniometer was positioned at the lateral acromion, with the stationary arm aligned with the thorax and the moving arm aligned with the humerus. All goniometric measurements were taken by a physiotherapist with five years of clinical experience, who was blinded to the group allocation to minimize bias. This measurement technique for scaption is considered highly reliable. According to Kolber et al. (2012), goniometric assessment of scapular plane shoulder elevation demonstrates excellent intra-rater reliability (Intraclass Correlation Coefficient [ICC] &gt; 0.90), making it a valid and consistent method for clinical and research settings. (19).</w:t>
      </w:r>
    </w:p>
    <w:p>
      <w:pPr>
        <w:pStyle w:val="Heading1"/>
        <w:spacing w:line="240" w:lineRule="auto" w:before="0" w:after="240"/>
      </w:pPr>
      <w:r>
        <w:rPr>
          <w:b/>
          <w:rFonts w:ascii="Times New Roman" w:hAnsi="Times New Roman"/>
          <w:sz w:val="24"/>
        </w:rPr>
        <w:t xml:space="preserve">DATA ANALYSIS</w:t>
      </w:r>
    </w:p>
    <w:p>
      <w:pPr>
        <w:spacing w:line="240" w:lineRule="auto" w:before="0" w:after="240"/>
      </w:pPr>
      <w:r>
        <w:rPr>
          <w:rFonts w:ascii="Times New Roman" w:hAnsi="Times New Roman"/>
          <w:sz w:val="24"/>
        </w:rPr>
        <w:t xml:space="preserve">This study was conducted on 50 subjects with two groups: Group A (Experimental) and Group B (Comparison). Each group received different interventions. The groups were compared using NPRS &amp; ROM scores analyzed with the Wilcoxon test (Table 2). The Difference between NPRS and ROM between pre and post-test was assessed using the Mann-Whitney U test in SPSS Version 27.</w:t>
      </w:r>
    </w:p>
    <w:p>
      <w:pPr>
        <w:pStyle w:val="Heading1"/>
        <w:spacing w:line="240" w:lineRule="auto" w:before="0" w:after="240"/>
      </w:pPr>
      <w:r>
        <w:rPr>
          <w:b/>
          <w:rFonts w:ascii="Times New Roman" w:hAnsi="Times New Roman"/>
          <w:sz w:val="24"/>
        </w:rPr>
        <w:t xml:space="preserve">RESULTS</w:t>
      </w:r>
    </w:p>
    <w:p>
      <w:pPr>
        <w:spacing w:line="240" w:lineRule="auto" w:before="0" w:after="240"/>
      </w:pPr>
      <w:r>
        <w:rPr>
          <w:rFonts w:ascii="Times New Roman" w:hAnsi="Times New Roman"/>
          <w:sz w:val="24"/>
        </w:rPr>
        <w:t xml:space="preserve">The outcomes of the study were evaluated following a four-week intervention period. No adverse effects or complications were reported in either group throughout the study period. Adverse events were monitored through participant self-report and clinical observation at each weekly session.</w:t>
      </w:r>
    </w:p>
    <w:p>
      <w:pPr>
        <w:spacing w:line="240" w:lineRule="auto" w:before="0" w:after="240"/>
      </w:pPr>
      <w:r>
        <w:rPr>
          <w:rFonts w:ascii="Times New Roman" w:hAnsi="Times New Roman"/>
          <w:sz w:val="24"/>
        </w:rPr>
        <w:t xml:space="preserve">Pain Intensity (NPRS)</w:t>
      </w:r>
    </w:p>
    <w:p>
      <w:pPr>
        <w:spacing w:line="240" w:lineRule="auto" w:before="0" w:after="240"/>
      </w:pPr>
      <w:r>
        <w:rPr>
          <w:rFonts w:ascii="Times New Roman" w:hAnsi="Times New Roman"/>
          <w:sz w:val="24"/>
        </w:rPr>
        <w:t xml:space="preserve">Group A showed a significant reduction in NPRS scores from 7.28 ± 0.737 (pre-test) to 5.28 ± 1.061 (post-test), with a Z-value = -4.187, p &lt; 0.001, and a 95% confidence interval (CI): [1.58, 2.22], indicating a statistically and clinically significant reduction in pain. Group B showed a moderate reduction in NPRS scores, from 7.16 ± 0.80 to 6.44 ± 1.00, with a Z score of -4.025, p &lt; 0.001, and a 95% CI of [0.55, 0.94]. This reduction was statistically significant, although less pronounced than that in Group A (Table 2).</w:t>
      </w:r>
    </w:p>
    <w:p>
      <w:pPr>
        <w:spacing w:line="240" w:lineRule="auto" w:before="0" w:after="240"/>
      </w:pPr>
      <w:r>
        <w:rPr>
          <w:rFonts w:ascii="Times New Roman" w:hAnsi="Times New Roman"/>
          <w:sz w:val="24"/>
        </w:rPr>
        <w:t xml:space="preserve">The combined NPRS Comparison (Table 3) shows that the overall mean NPRS decreased from 7.22 ± 0.764 to 5.86 ± 1.178 Z = -3.508, p &lt; 0.001, 95% CI: [0.88, 1.73], indicating a statistically significant improvement.</w:t>
      </w:r>
    </w:p>
    <w:p>
      <w:pPr>
        <w:spacing w:line="240" w:lineRule="auto" w:before="0" w:after="240"/>
      </w:pPr>
      <w:r>
        <w:rPr>
          <w:rFonts w:ascii="Times New Roman" w:hAnsi="Times New Roman"/>
          <w:sz w:val="24"/>
        </w:rPr>
        <w:t xml:space="preserve">Range of Motion (Scapular Plane Shoulder Elevation)</w:t>
      </w:r>
    </w:p>
    <w:p>
      <w:pPr>
        <w:spacing w:line="240" w:lineRule="auto" w:before="0" w:after="240"/>
      </w:pPr>
      <w:r>
        <w:rPr>
          <w:rFonts w:ascii="Times New Roman" w:hAnsi="Times New Roman"/>
          <w:sz w:val="24"/>
        </w:rPr>
        <w:t xml:space="preserve">Group A improved significantly from 47.16 ± 1.675 to 52.12 ± 1.616 with Z = -4.441, p &lt; 0.001, and a 95% CI: [4.48, 5.31], reflecting a notable gain in shoulder mobility (Table 2). Group B showed a smaller improvement from 47.36 ± 1.777 to 48.88 ± 2.147, with Z = -3.992, p &lt; 0.001, and a 95% CI: [1.09, 1.68], suggesting a slight but statistically significant increase in mobility.</w:t>
      </w:r>
    </w:p>
    <w:p>
      <w:pPr>
        <w:spacing w:line="240" w:lineRule="auto" w:before="0" w:after="240"/>
      </w:pPr>
      <w:r>
        <w:rPr>
          <w:rFonts w:ascii="Times New Roman" w:hAnsi="Times New Roman"/>
          <w:sz w:val="24"/>
        </w:rPr>
        <w:t xml:space="preserve">The combined ROM comparison (Table 3) shows that the mean ROM increased from 47.26 ± 1.71 to 50.50 ± 2.49, with a Z score of -2.678, p &lt; 0.001, and a 95% CI of [2.63, 3.45], demonstrating an overall improvement in shoulder elevation range.</w:t>
      </w:r>
    </w:p>
    <w:p>
      <w:pPr>
        <w:pStyle w:val="Heading1"/>
        <w:spacing w:line="240" w:lineRule="auto" w:before="0" w:after="240"/>
      </w:pPr>
      <w:r>
        <w:rPr>
          <w:b/>
          <w:rFonts w:ascii="Times New Roman" w:hAnsi="Times New Roman"/>
          <w:sz w:val="24"/>
        </w:rPr>
        <w:t xml:space="preserve">DISCUSSION:</w:t>
      </w:r>
    </w:p>
    <w:p>
      <w:pPr>
        <w:spacing w:line="240" w:lineRule="auto" w:before="0" w:after="240"/>
      </w:pPr>
      <w:r>
        <w:rPr>
          <w:rFonts w:ascii="Times New Roman" w:hAnsi="Times New Roman"/>
          <w:sz w:val="24"/>
        </w:rPr>
        <w:t xml:space="preserve">The effectiveness of MFR and IR in conjunction with active stretching was compared for the treatment of rhomboid MTrPs in this study. The outcomes demonstrated that while both treatments considerably decreased pain and enhanced rROM, MFR combined with active stretching offered the best pain alleviation and flexibility improvements. A limited sample size and a brief intervention period were two study constraints that may have affected the generalizability of the results, even though the results suggest that MFR is a more successful strategy. To validate the long-term advantages, future studies should utilize larger sample sizes, longer follow-up periods, and objective tests, such as electromyography (EMG). Clinically, MFR combined with active stretching may be a preferred intervention for managing rhomboid trigger points due to its greater effectiveness in pain reduction and ROM improvement (4). MTrPs in the rhomboid muscles are common sources of pain and dysfunction, often associated with poor posture, repetitive strain, or muscular imbalances. Various therapeutic approaches are employed to alleviate pain, restore function and improve muscle flexibility. Two commonly used methods are MFR with active stretching and IR with active stretching. This discussion compares these two interventions in terms of their efficacy for managing rhomboid trigger points. According to Moylan et al. (2013), MFR can significantly reduce pain intensity and improve functional movement in patients with MTrPs. This approach specifically targets the muscle knots and tight fascia that cause discomfort associated with MTrPs(20). Lee et al. (2018) demonstrated that MFR effectively provides immediate relief for myofascial pain syndrome by addressing restrictions in the fascia and improving blood flow to the affected regions. They also noted that pairing MFR with active stretching further improves treatment outcomes by helping to preserve muscle flexibility following the therapy. In our pilot study, we are comparing this combined approach of MFR and active stretching with a treatment involving isometric relaxation followed by stretching therapy. (21) Simons et al. (2019) explored the effectiveness of isometric relaxation techniques and found them to be effective in reducing muscle spasm and alleviating pain associated with MTrPs. The relaxation phase following the isometric contraction allows the muscle fibers to release tightness, improving flexibility (22). Mikalauskas et al. (2017) demonstrated that incorporating IR with stretching significantly improved both muscle flexibility and functional movement in patients with upper back pain. In rhomboid trigger points, this combination has been shown to effectively reduce the discomfort and stiffness associated with formation, improving the ROM and reducing the recurrence of pain (23). Moradi et al. (2020) conducted a study comparing IR with active stretching against other forms of treatment and found that this combined technique produced superior outcomes in managing myofascial pain, especially in patients with upper back and shoulder pain (17). Khanet al. (2022) found that both MFR and IR resulted in significant pain reduction and increased ROM in patients with non-specific neck pain points (24).</w:t>
      </w:r>
    </w:p>
    <w:p>
      <w:pPr>
        <w:spacing w:line="240" w:lineRule="auto" w:before="0" w:after="240"/>
      </w:pPr>
      <w:r>
        <w:rPr>
          <w:rFonts w:ascii="Times New Roman" w:hAnsi="Times New Roman"/>
          <w:sz w:val="24"/>
        </w:rPr>
        <w:t xml:space="preserve">While MFR and IR combined with active stretching are generally safe interventions for managing rhomboid trigger points, certain contraindications must be considered. MFR should be avoided in cases of acute inflammation, open wounds, skin infections or fractures in the treatment area to prevent exacerbation of symptoms or tissue damage. Similarly, IR exercises may not be suitable for patients with severe muscle weakness, recent surgery or certain cardiovascular conditions where increased muscle tension could pose risks. It is essential to screen patients carefully to ensure these interventions are applied safely, minimizing the risk of adverse effects while maximizing therapeutic benefits (1,2,25-29).</w:t>
      </w:r>
    </w:p>
    <w:p>
      <w:pPr>
        <w:pStyle w:val="Heading1"/>
        <w:spacing w:line="240" w:lineRule="auto" w:before="0" w:after="240"/>
      </w:pPr>
      <w:r>
        <w:rPr>
          <w:b/>
          <w:rFonts w:ascii="Times New Roman" w:hAnsi="Times New Roman"/>
          <w:sz w:val="24"/>
        </w:rPr>
        <w:t xml:space="preserve">CONCLUSION:</w:t>
      </w:r>
    </w:p>
    <w:p>
      <w:pPr>
        <w:spacing w:line="240" w:lineRule="auto" w:before="0" w:after="240"/>
      </w:pPr>
      <w:r>
        <w:rPr>
          <w:rFonts w:ascii="Times New Roman" w:hAnsi="Times New Roman"/>
          <w:sz w:val="24"/>
        </w:rPr>
        <w:t xml:space="preserve">In conclusion, both MFR with active stretching and IR with active stretching are effective in managing rhomboid trigger points by reducing pain and improving function. However, the combination of MFR with active stretching showed superior results in terms of pain relief and flexibility, compared to IR with active stretching.</w:t>
      </w:r>
    </w:p>
    <w:p>
      <w:pPr>
        <w:spacing w:line="240" w:lineRule="auto" w:before="0" w:after="240"/>
      </w:pPr>
      <w:r>
        <w:rPr>
          <w:rFonts w:ascii="Times New Roman" w:hAnsi="Times New Roman"/>
          <w:sz w:val="24"/>
        </w:rPr>
        <w:t xml:space="preserve">From a clinical perspective, incorporating MFR with active stretching into treatment protocols is recommended for patients presenting with myofascial dysfunction, particularly those experiencing postural imbalances, overuse injuries or sedentary lifestyles that commonly lead to rhomboid trigger points. This approach may be especially beneficial in outpatient musculoskeletal therapy settings, sports rehabilitation and among individuals such as office workers, athletes or manual labourers. However, clinicians should exercise caution when applying MFR techniques to individuals with contraindications such as acute inflammation, fractures, bleeding disorders or severe osteoporosis.</w:t>
      </w:r>
    </w:p>
    <w:p>
      <w:pPr>
        <w:spacing w:line="240" w:lineRule="auto" w:before="0" w:after="240"/>
      </w:pPr>
      <w:r>
        <w:rPr>
          <w:rFonts w:ascii="Times New Roman" w:hAnsi="Times New Roman"/>
          <w:sz w:val="24"/>
        </w:rPr>
        <w:t xml:space="preserve">Tailoring interventions to the patient's specific condition and tolerance levels is essential to ensure safety and optimize outcomes. By thoughtfully integrating MFR with active stretching into therapeutic strategies, clinicians can enhance pain management and functional recovery in patients with rhomboid trigger points and related myofascial pain syndromes.</w:t>
      </w:r>
    </w:p>
    <w:p>
      <w:pPr>
        <w:pStyle w:val="Heading1"/>
        <w:spacing w:line="240" w:lineRule="auto" w:before="0" w:after="240"/>
      </w:pPr>
      <w:r>
        <w:rPr>
          <w:b/>
          <w:rFonts w:ascii="Times New Roman" w:hAnsi="Times New Roman"/>
          <w:sz w:val="24"/>
        </w:rPr>
        <w:t xml:space="preserve">LIMITATION AND RECOMMENDATION:</w:t>
      </w:r>
    </w:p>
    <w:p>
      <w:pPr>
        <w:spacing w:line="240" w:lineRule="auto" w:before="0" w:after="240"/>
      </w:pPr>
      <w:r>
        <w:rPr>
          <w:rFonts w:ascii="Times New Roman" w:hAnsi="Times New Roman"/>
          <w:sz w:val="24"/>
        </w:rPr>
        <w:t xml:space="preserve">The limitations of the study include a small sample size, which reduces the ability to generalize the findings. Additionally, the study lacks long-term follow-up, making it difficult to assess the sustained effects of the interventions over time.</w:t>
      </w:r>
    </w:p>
    <w:p>
      <w:pPr>
        <w:spacing w:line="240" w:lineRule="auto" w:before="0" w:after="240"/>
      </w:pPr>
      <w:r>
        <w:rPr>
          <w:rFonts w:ascii="Times New Roman" w:hAnsi="Times New Roman"/>
          <w:sz w:val="24"/>
        </w:rPr>
        <w:t xml:space="preserve">For future research, it is recommended to use a larger sample size to enhance statistical power and generalizability. Long-term follow-up assessments should be incorporated to evaluate the durability of the effects, and a more diverse participant group should be included to ensure broader applicability.</w:t>
      </w:r>
    </w:p>
    <w:p>
      <w:pPr>
        <w:pStyle w:val="Heading1"/>
        <w:spacing w:line="240" w:lineRule="auto" w:before="0" w:after="240"/>
      </w:pPr>
      <w:r>
        <w:rPr>
          <w:b/>
          <w:rFonts w:ascii="Times New Roman" w:hAnsi="Times New Roman"/>
          <w:sz w:val="24"/>
        </w:rPr>
        <w:t xml:space="preserve">CONFLICT OF INTEREST NOTIFICATION</w:t>
      </w:r>
    </w:p>
    <w:p>
      <w:pPr>
        <w:spacing w:line="240" w:lineRule="auto" w:before="0" w:after="240"/>
      </w:pPr>
      <w:r>
        <w:rPr>
          <w:rFonts w:ascii="Times New Roman" w:hAnsi="Times New Roman"/>
          <w:sz w:val="24"/>
        </w:rPr>
        <w:t xml:space="preserve">The author(s) declares there are no conflicts of interest.</w:t>
      </w:r>
    </w:p>
    <w:p>
      <w:pPr>
        <w:pStyle w:val="Heading1"/>
        <w:spacing w:line="240" w:lineRule="auto" w:before="0" w:after="240"/>
      </w:pPr>
      <w:r>
        <w:rPr>
          <w:b/>
          <w:rFonts w:ascii="Times New Roman" w:hAnsi="Times New Roman"/>
          <w:sz w:val="24"/>
        </w:rPr>
        <w:t xml:space="preserve">FUNDING</w:t>
      </w:r>
    </w:p>
    <w:p>
      <w:pPr>
        <w:spacing w:line="240" w:lineRule="auto" w:before="0" w:after="240"/>
      </w:pPr>
      <w:r>
        <w:rPr>
          <w:rFonts w:ascii="Times New Roman" w:hAnsi="Times New Roman"/>
          <w:sz w:val="24"/>
        </w:rPr>
        <w:t xml:space="preserve">No sources of funding were used in this study.</w:t>
      </w:r>
    </w:p>
    <w:p>
      <w:pPr>
        <w:pStyle w:val="Heading1"/>
        <w:spacing w:line="240" w:lineRule="auto" w:before="0" w:after="240"/>
      </w:pPr>
      <w:r>
        <w:rPr>
          <w:b/>
          <w:rFonts w:ascii="Times New Roman" w:hAnsi="Times New Roman"/>
          <w:sz w:val="24"/>
        </w:rPr>
        <w:t xml:space="preserve">COPYRIGHT</w:t>
      </w:r>
    </w:p>
    <w:p>
      <w:pPr>
        <w:spacing w:line="240" w:lineRule="auto" w:before="0" w:after="240"/>
      </w:pPr>
      <w:r>
        <w:rPr>
          <w:rFonts w:ascii="Times New Roman" w:hAnsi="Times New Roman"/>
          <w:sz w:val="24"/>
        </w:rPr>
        <w:t xml:space="preserve">Published under the CreativeCommonsAttribution-NonCommercial-NoDerivs 3.0 License.</w:t>
      </w:r>
    </w:p>
    <w:p>
      <w:pPr>
        <w:pStyle w:val="Heading1"/>
        <w:spacing w:line="240" w:lineRule="auto" w:before="0" w:after="24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1.Simons DG, Travel J, Simons LS. Myofascial Pain and Dysfunction: The Trigger Point Manual. Upper Half of Body Baltimore: Williams and Wilkins. 1999 2.</w:t>
      </w:r>
    </w:p>
    <w:p>
      <w:pPr>
        <w:spacing w:line="240" w:lineRule="auto" w:before="0" w:after="240"/>
      </w:pPr>
      <w:r>
        <w:rPr>
          <w:rFonts w:ascii="Times New Roman" w:hAnsi="Times New Roman"/>
          <w:sz w:val="24"/>
        </w:rPr>
        <w:t xml:space="preserve">2. Sergienko S, Kalichman L. Myofascial origin of shoulder pain: a literature review. J Bodyw Mov Ther. 2015 19(1):91-101. doi:10.1016/j.jbmt.2014.05.004.</w:t>
      </w:r>
    </w:p>
    <w:p>
      <w:pPr>
        <w:spacing w:line="240" w:lineRule="auto" w:before="0" w:after="240"/>
      </w:pPr>
      <w:r>
        <w:rPr>
          <w:rFonts w:ascii="Times New Roman" w:hAnsi="Times New Roman"/>
          <w:sz w:val="24"/>
        </w:rPr>
        <w:t xml:space="preserve">3. Bron C, Dommerholt JD. Etiology of MTrPs. Curr Pain Headache Rep. 2012 16(5):439-444. doi:10.1007/s11916-012-0289-4.</w:t>
      </w:r>
    </w:p>
    <w:p>
      <w:pPr>
        <w:spacing w:line="240" w:lineRule="auto" w:before="0" w:after="240"/>
      </w:pPr>
      <w:r>
        <w:rPr>
          <w:rFonts w:ascii="Times New Roman" w:hAnsi="Times New Roman"/>
          <w:sz w:val="24"/>
        </w:rPr>
        <w:t xml:space="preserve">4. Hong CZ, Simons DG. Pathophysiologic and electrophysiologic mechanisms of MTrPs. Arch Phys Med Rehabil. 1998 79(7):863-872. doi:10.1016/s0003-9993(98)90371-9.</w:t>
      </w:r>
    </w:p>
    <w:p>
      <w:pPr>
        <w:spacing w:line="240" w:lineRule="auto" w:before="0" w:after="240"/>
      </w:pPr>
      <w:r>
        <w:rPr>
          <w:rFonts w:ascii="Times New Roman" w:hAnsi="Times New Roman"/>
          <w:sz w:val="24"/>
        </w:rPr>
        <w:t xml:space="preserve">5. Shah JP, Gilliams EA. Uncovering the biochemical milieu of MTrPs using in vivo microdialysis: an application of muscle pain concepts to myofascial pain syndrome. J Bodyw Mov Ther. 2008 12(4):371-384. doi:10.1016/j.jbmt.2008.06.006.</w:t>
      </w:r>
    </w:p>
    <w:p>
      <w:pPr>
        <w:spacing w:line="240" w:lineRule="auto" w:before="0" w:after="240"/>
      </w:pPr>
      <w:r>
        <w:rPr>
          <w:rFonts w:ascii="Times New Roman" w:hAnsi="Times New Roman"/>
          <w:sz w:val="24"/>
        </w:rPr>
        <w:t xml:space="preserve">6. Srbely JZ, Dickey JP, Bent LR, Lee D, Lowerison M. Capsaicin-induced central sensitization evokes segmental increases in trigger point sensitivity in humans. J Pain. 2010 11(7):636-643. doi:10.1016/j.jpain.2009.10.005.</w:t>
      </w:r>
    </w:p>
    <w:p>
      <w:pPr>
        <w:spacing w:line="240" w:lineRule="auto" w:before="0" w:after="240"/>
      </w:pPr>
      <w:r>
        <w:rPr>
          <w:rFonts w:ascii="Times New Roman" w:hAnsi="Times New Roman"/>
          <w:sz w:val="24"/>
        </w:rPr>
        <w:t xml:space="preserve">7. Nambi G, Alghadier M, Khanam H, et al. An additive effect of instrument-assisted soft tissue mobilization with spinal manipulation in cervicogenic headache: A randomized controlled trial. Pain Ther. 2024 13(6):1679-1693. doi:10.1007/s40122-024-00671-w</w:t>
      </w:r>
    </w:p>
    <w:p>
      <w:pPr>
        <w:spacing w:line="240" w:lineRule="auto" w:before="0" w:after="240"/>
      </w:pPr>
      <w:r>
        <w:rPr>
          <w:rFonts w:ascii="Times New Roman" w:hAnsi="Times New Roman"/>
          <w:sz w:val="24"/>
        </w:rPr>
        <w:t xml:space="preserve">8.Hoy D, March L, Brooks P, et al. The global burden of low back pain: estimates from the Global Burden of Disease 2010 study. Ann Rheum Dis. 2014 73(6):968-974. doi:10.1136/annrheumdis-2013-204428</w:t>
      </w:r>
    </w:p>
    <w:p>
      <w:pPr>
        <w:spacing w:line="240" w:lineRule="auto" w:before="0" w:after="240"/>
      </w:pPr>
      <w:r>
        <w:rPr>
          <w:rFonts w:ascii="Times New Roman" w:hAnsi="Times New Roman"/>
          <w:sz w:val="24"/>
        </w:rPr>
        <w:t xml:space="preserve">9. Skootsky SA, Jaeger B, Oye RK. Prevalence of myofascial pain in general internal medicine practice. West J Med. 1989 151(2):157-160.</w:t>
      </w:r>
    </w:p>
    <w:p>
      <w:pPr>
        <w:spacing w:line="240" w:lineRule="auto" w:before="0" w:after="240"/>
      </w:pPr>
      <w:r>
        <w:rPr>
          <w:rFonts w:ascii="Times New Roman" w:hAnsi="Times New Roman"/>
          <w:sz w:val="24"/>
        </w:rPr>
        <w:t xml:space="preserve">10. Chaudhary ES, Shah N, Vyas N, Khuman R, Chavda D, et al. Comparative study of myofascial release and cold pack in upper trapezius spasm. International Journal of Health Sciences and Research (IJHSR). 2013 3(12):20-27.</w:t>
      </w:r>
    </w:p>
    <w:p>
      <w:pPr>
        <w:spacing w:line="240" w:lineRule="auto" w:before="0" w:after="240"/>
      </w:pPr>
      <w:r>
        <w:rPr>
          <w:rFonts w:ascii="Times New Roman" w:hAnsi="Times New Roman"/>
          <w:sz w:val="24"/>
        </w:rPr>
        <w:t xml:space="preserve">11. Manheim CJ. The Myofascial Release Manual. 4th ed. Slack Incorporated; 2008.</w:t>
      </w:r>
    </w:p>
    <w:p>
      <w:pPr>
        <w:spacing w:line="240" w:lineRule="auto" w:before="0" w:after="240"/>
      </w:pPr>
      <w:r>
        <w:rPr>
          <w:rFonts w:ascii="Times New Roman" w:hAnsi="Times New Roman"/>
          <w:sz w:val="24"/>
        </w:rPr>
        <w:t xml:space="preserve">12. Altindag O. Efficacy of myofascial release method on pain and disease severity in patients with fibromyalgia. J Pain Relief. 2014 03(05). doi:10.4172/2167-0846.1000161.</w:t>
      </w:r>
    </w:p>
    <w:p>
      <w:pPr>
        <w:spacing w:line="240" w:lineRule="auto" w:before="0" w:after="240"/>
      </w:pPr>
      <w:r>
        <w:rPr>
          <w:rFonts w:ascii="Times New Roman" w:hAnsi="Times New Roman"/>
          <w:sz w:val="24"/>
        </w:rPr>
        <w:t xml:space="preserve">13. Stanborough M. Direct Release Myofascial Technique: An Illustrated Guide for Practitioners.; 2004.</w:t>
      </w:r>
    </w:p>
    <w:p>
      <w:pPr>
        <w:spacing w:line="240" w:lineRule="auto" w:before="0" w:after="240"/>
      </w:pPr>
      <w:r>
        <w:rPr>
          <w:rFonts w:ascii="Times New Roman" w:hAnsi="Times New Roman"/>
          <w:sz w:val="24"/>
        </w:rPr>
        <w:t xml:space="preserve">14. Feland JB, Myrer JW, Schulthies SS, Fellingham GW, Measom GW. The effect of duration of stretching of the hamstring muscle group for increasing range of motion in people aged 65 years or older. Phys Ther. 2001 81(5):1110-1117. doi:10.1093/ptj/81.5.1110.</w:t>
      </w:r>
    </w:p>
    <w:p>
      <w:pPr>
        <w:spacing w:line="240" w:lineRule="auto" w:before="0" w:after="240"/>
      </w:pPr>
      <w:r>
        <w:rPr>
          <w:rFonts w:ascii="Times New Roman" w:hAnsi="Times New Roman"/>
          <w:sz w:val="24"/>
        </w:rPr>
        <w:t xml:space="preserve">15. Hanten WP, Olson SL, Butts NL, Nowicki AL. Effectiveness of a home program of ischemic pressure followed by sustained stretch for treatment of MTrPs. Phys Ther. 2000 80(10):997-1003. doi:10.1093/ptj/80.10.997.</w:t>
      </w:r>
    </w:p>
    <w:p>
      <w:pPr>
        <w:spacing w:line="240" w:lineRule="auto" w:before="0" w:after="240"/>
      </w:pPr>
      <w:r>
        <w:rPr>
          <w:rFonts w:ascii="Times New Roman" w:hAnsi="Times New Roman"/>
          <w:sz w:val="24"/>
        </w:rPr>
        <w:t xml:space="preserve">16.Julious SA. Sample size of 12 per group rule of thumb for a pilot study. Pharm Stat. 2005 4(4):287-291. doi:10.1002/pst.185</w:t>
      </w:r>
    </w:p>
    <w:p>
      <w:pPr>
        <w:spacing w:line="240" w:lineRule="auto" w:before="0" w:after="240"/>
      </w:pPr>
      <w:r>
        <w:rPr>
          <w:rFonts w:ascii="Times New Roman" w:hAnsi="Times New Roman"/>
          <w:sz w:val="24"/>
        </w:rPr>
        <w:t xml:space="preserve">17.Mikalauskas R, Laurinavicius A. Isometric relaxation combined with active stretching for shoulder pain: A pilot study. Journal of Orthopedic and Sports Physical Therapy. 2017 47(12):944-951.</w:t>
      </w:r>
    </w:p>
    <w:p>
      <w:pPr>
        <w:spacing w:line="240" w:lineRule="auto" w:before="0" w:after="240"/>
      </w:pPr>
      <w:r>
        <w:rPr>
          <w:rFonts w:ascii="Times New Roman" w:hAnsi="Times New Roman"/>
          <w:sz w:val="24"/>
        </w:rPr>
        <w:t xml:space="preserve">18. Da Silva Ranzatto AD, Chaves TC, Martins MN, et al. Pain intensity scales: A cross-sectional study on the preferences and knowledge of physiotherapists and participants with musculoskeletal pain. Musculoskeletal Science and Practice. 2024 73.</w:t>
      </w:r>
    </w:p>
    <w:p>
      <w:pPr>
        <w:spacing w:line="240" w:lineRule="auto" w:before="0" w:after="240"/>
      </w:pPr>
      <w:r>
        <w:rPr>
          <w:rFonts w:ascii="Times New Roman" w:hAnsi="Times New Roman"/>
          <w:sz w:val="24"/>
        </w:rPr>
        <w:t xml:space="preserve">19. Kolber MJ, Fuller C, Marshall J, Wright A, Hanney WJ. The reliability and concurrent validity of scapular plane shoulder elevation measurements using a digital inclinometer and goniometer. Physiother Theory Pract. 2012 28(2):161-168. doi:10.3109/09593985.2011.574203.</w:t>
      </w:r>
    </w:p>
    <w:p>
      <w:pPr>
        <w:spacing w:line="240" w:lineRule="auto" w:before="0" w:after="240"/>
      </w:pPr>
      <w:r>
        <w:rPr>
          <w:rFonts w:ascii="Times New Roman" w:hAnsi="Times New Roman"/>
          <w:sz w:val="24"/>
        </w:rPr>
        <w:t xml:space="preserve">20.Moylan MR, Green TR, Lawton CA. Efficacy of myofascial release in the treatment of MTrPs. Journal of Pain Research. 2013 6:101-108.</w:t>
      </w:r>
    </w:p>
    <w:p>
      <w:pPr>
        <w:spacing w:line="240" w:lineRule="auto" w:before="0" w:after="240"/>
      </w:pPr>
      <w:r>
        <w:rPr>
          <w:rFonts w:ascii="Times New Roman" w:hAnsi="Times New Roman"/>
          <w:sz w:val="24"/>
        </w:rPr>
        <w:t xml:space="preserve">21.Lee JH, Kim JH, Lee SW. Myofascial release and active stretching in treating chronic neck pain: A randomized controlled trial. Journal of Musculoskeletal Pain. 2018 26(1):67-74.</w:t>
      </w:r>
    </w:p>
    <w:p>
      <w:pPr>
        <w:spacing w:line="240" w:lineRule="auto" w:before="0" w:after="240"/>
      </w:pPr>
      <w:r>
        <w:rPr>
          <w:rFonts w:ascii="Times New Roman" w:hAnsi="Times New Roman"/>
          <w:sz w:val="24"/>
        </w:rPr>
        <w:t xml:space="preserve">22.Simons DG, Travell JG. Trigger point release: A systematic review and meta-analysis. Clinical Journal of Pain. 2019 35(7):548-554.</w:t>
      </w:r>
    </w:p>
    <w:p>
      <w:pPr>
        <w:spacing w:line="240" w:lineRule="auto" w:before="0" w:after="240"/>
      </w:pPr>
      <w:r>
        <w:rPr>
          <w:rFonts w:ascii="Times New Roman" w:hAnsi="Times New Roman"/>
          <w:sz w:val="24"/>
        </w:rPr>
        <w:t xml:space="preserve">23.Mcarthur MP. Myofascial release and its effectiveness in the management of myofascial pain syndrome. Journal of Bodywork and Movement Therapies. 2015 19(3):512-519.</w:t>
      </w:r>
    </w:p>
    <w:p>
      <w:pPr>
        <w:spacing w:line="240" w:lineRule="auto" w:before="0" w:after="240"/>
      </w:pPr>
      <w:r>
        <w:rPr>
          <w:rFonts w:ascii="Times New Roman" w:hAnsi="Times New Roman"/>
          <w:sz w:val="24"/>
        </w:rPr>
        <w:t xml:space="preserve">24.Khan ZK, Ahmed SI, Baig AA, Farooqui WA. Effect of post-isometric relaxation versus myofascial release therapy on pain, functional disability, rom and qol in the management of non-specific neck pain: a randomized controlled trial. BMC Musculoskeletal Disorders. 2022 Jun 13 23(1):567.</w:t>
      </w:r>
    </w:p>
    <w:p>
      <w:pPr>
        <w:spacing w:line="240" w:lineRule="auto" w:before="0" w:after="240"/>
      </w:pPr>
      <w:r>
        <w:rPr>
          <w:rFonts w:ascii="Times New Roman" w:hAnsi="Times New Roman"/>
          <w:sz w:val="24"/>
        </w:rPr>
        <w:t xml:space="preserve">25.Albaker AB. Ischemic pressure vs. post-isometric relaxation for treatment of rhomboid latent myofascial trigger point: a systemic review. Eur Rev Med Pharmacol Sci. 2023 27(11):5031-5038. doi:10.26355/eurrev_202306_32620</w:t>
      </w:r>
    </w:p>
    <w:p>
      <w:pPr>
        <w:spacing w:line="240" w:lineRule="auto" w:before="0" w:after="240"/>
      </w:pPr>
      <w:r>
        <w:rPr>
          <w:rFonts w:ascii="Times New Roman" w:hAnsi="Times New Roman"/>
          <w:sz w:val="24"/>
        </w:rPr>
        <w:t xml:space="preserve">26.Sivalingam AM, Sureshkumar DD, Pandurangan V. Cerebellar pathology in forensic and clinical neuroscience. Ageing Res Rev. 2025 106(102697):102697. doi:10.1016/j.arr.2025.102697</w:t>
      </w:r>
    </w:p>
    <w:p>
      <w:pPr>
        <w:spacing w:line="240" w:lineRule="auto" w:before="0" w:after="240"/>
      </w:pPr>
      <w:r>
        <w:rPr>
          <w:rFonts w:ascii="Times New Roman" w:hAnsi="Times New Roman"/>
          <w:sz w:val="24"/>
        </w:rPr>
        <w:t xml:space="preserve">27.Balaji T, Ramalingam V, Santhana Lakshmi S. Comparing the effects of post-isometric relaxation and hold-relax technique for cervicogenic headache among computer users. Neurol Asia. 2025 30(1):157-163. doi:10.54029/2025tmx</w:t>
      </w:r>
    </w:p>
    <w:p>
      <w:pPr>
        <w:spacing w:line="240" w:lineRule="auto" w:before="0" w:after="240"/>
      </w:pPr>
      <w:r>
        <w:rPr>
          <w:rFonts w:ascii="Times New Roman" w:hAnsi="Times New Roman"/>
          <w:sz w:val="24"/>
        </w:rPr>
        <w:t xml:space="preserve">28.Senthilkumar S, Kumar A, Sangeetha S. A Study on Effectiveness of Post Isometric relaxation Technique in Trapezitis among workers. Res J Pharm Technol. 2019 12(10):4836. doi:10.5958/0974-360x.2019.00837.0</w:t>
      </w:r>
    </w:p>
    <w:p>
      <w:pPr>
        <w:spacing w:line="240" w:lineRule="auto" w:before="0" w:after="240"/>
      </w:pPr>
      <w:r>
        <w:rPr>
          <w:rFonts w:ascii="Times New Roman" w:hAnsi="Times New Roman"/>
          <w:sz w:val="24"/>
        </w:rPr>
        <w:t xml:space="preserve">29.M K, Josyula S, S JA, et al. Comparative analysis of high-intensity interval training and traditional rehabilitation programs for accelerated recovery from musculoskeletal injuries. J Back Musculoskelet Rehabil. 2024 37(2):437-443. doi:10.3233/BMR-230146</w:t>
      </w:r>
    </w:p>
    <w:p>
      <w:pPr>
        <w:spacing w:line="240" w:lineRule="auto" w:before="0" w:after="240"/>
      </w:pPr>
      <w:r>
        <w:rPr>
          <w:rFonts w:ascii="Times New Roman" w:hAnsi="Times New Roman"/>
          <w:sz w:val="24"/>
        </w:rPr>
        <w:t xml:space="preserve">Table 1. Subject demographics</w:t>
      </w:r>
    </w:p>
    <w:p>
      <w:pPr>
        <w:spacing w:line="240" w:lineRule="auto" w:before="0" w:after="240"/>
      </w:pPr>
      <w:r>
        <w:rPr>
          <w:rFonts w:ascii="Times New Roman" w:hAnsi="Times New Roman"/>
          <w:sz w:val="24"/>
        </w:rPr>
        <w:t xml:space="preserve">Category Subcategory Number of Participants</w:t>
      </w:r>
    </w:p>
    <w:p>
      <w:pPr>
        <w:spacing w:line="240" w:lineRule="auto" w:before="0" w:after="240"/>
      </w:pPr>
      <w:r>
        <w:rPr>
          <w:rFonts w:ascii="Times New Roman" w:hAnsi="Times New Roman"/>
          <w:sz w:val="24"/>
        </w:rPr>
        <w:t xml:space="preserve">Gender</w:t>
      </w:r>
    </w:p>
    <w:p>
      <w:pPr>
        <w:spacing w:line="240" w:lineRule="auto" w:before="0" w:after="240"/>
      </w:pPr>
      <w:r>
        <w:rPr>
          <w:rFonts w:ascii="Times New Roman" w:hAnsi="Times New Roman"/>
          <w:sz w:val="24"/>
        </w:rPr>
        <w:t xml:space="preserve">Male</w:t>
      </w:r>
    </w:p>
    <w:p>
      <w:pPr>
        <w:spacing w:line="240" w:lineRule="auto" w:before="0" w:after="240"/>
      </w:pPr>
      <w:r>
        <w:rPr>
          <w:rFonts w:ascii="Times New Roman" w:hAnsi="Times New Roman"/>
          <w:sz w:val="24"/>
        </w:rPr>
        <w:t xml:space="preserve">29</w:t>
      </w:r>
    </w:p>
    <w:p>
      <w:pPr>
        <w:spacing w:line="240" w:lineRule="auto" w:before="0" w:after="240"/>
      </w:pPr>
      <w:r>
        <w:rPr>
          <w:rFonts w:ascii="Times New Roman" w:hAnsi="Times New Roman"/>
          <w:sz w:val="24"/>
        </w:rPr>
        <w:t xml:space="preserve">Female</w:t>
      </w:r>
    </w:p>
    <w:p>
      <w:pPr>
        <w:spacing w:line="240" w:lineRule="auto" w:before="0" w:after="240"/>
      </w:pPr>
      <w:r>
        <w:rPr>
          <w:rFonts w:ascii="Times New Roman" w:hAnsi="Times New Roman"/>
          <w:sz w:val="24"/>
        </w:rPr>
        <w:t xml:space="preserve">21</w:t>
      </w:r>
    </w:p>
    <w:p>
      <w:pPr>
        <w:spacing w:line="240" w:lineRule="auto" w:before="0" w:after="240"/>
      </w:pPr>
      <w:r>
        <w:rPr>
          <w:rFonts w:ascii="Times New Roman" w:hAnsi="Times New Roman"/>
          <w:sz w:val="24"/>
        </w:rPr>
        <w:t xml:space="preserve">Age</w:t>
      </w:r>
    </w:p>
    <w:p>
      <w:pPr>
        <w:spacing w:line="240" w:lineRule="auto" w:before="0" w:after="240"/>
      </w:pPr>
      <w:r>
        <w:rPr>
          <w:rFonts w:ascii="Times New Roman" w:hAnsi="Times New Roman"/>
          <w:sz w:val="24"/>
        </w:rPr>
        <w:t xml:space="preserve">18-25</w:t>
      </w:r>
    </w:p>
    <w:p>
      <w:pPr>
        <w:spacing w:line="240" w:lineRule="auto" w:before="0" w:after="240"/>
      </w:pPr>
      <w:r>
        <w:rPr>
          <w:rFonts w:ascii="Times New Roman" w:hAnsi="Times New Roman"/>
          <w:sz w:val="24"/>
        </w:rPr>
        <w:t xml:space="preserve">25</w:t>
      </w:r>
    </w:p>
    <w:p>
      <w:pPr>
        <w:spacing w:line="240" w:lineRule="auto" w:before="0" w:after="240"/>
      </w:pPr>
      <w:r>
        <w:rPr>
          <w:rFonts w:ascii="Times New Roman" w:hAnsi="Times New Roman"/>
          <w:sz w:val="24"/>
        </w:rPr>
        <w:t xml:space="preserve">26-50</w:t>
      </w:r>
    </w:p>
    <w:p>
      <w:pPr>
        <w:spacing w:line="240" w:lineRule="auto" w:before="0" w:after="240"/>
      </w:pPr>
      <w:r>
        <w:rPr>
          <w:rFonts w:ascii="Times New Roman" w:hAnsi="Times New Roman"/>
          <w:sz w:val="24"/>
        </w:rPr>
        <w:t xml:space="preserve">15</w:t>
      </w:r>
    </w:p>
    <w:p>
      <w:pPr>
        <w:spacing w:line="240" w:lineRule="auto" w:before="0" w:after="240"/>
      </w:pPr>
      <w:r>
        <w:rPr>
          <w:rFonts w:ascii="Times New Roman" w:hAnsi="Times New Roman"/>
          <w:sz w:val="24"/>
        </w:rPr>
        <w:t xml:space="preserve">51-65</w:t>
      </w:r>
    </w:p>
    <w:p>
      <w:pPr>
        <w:spacing w:line="240" w:lineRule="auto" w:before="0" w:after="240"/>
      </w:pPr>
      <w:r>
        <w:rPr>
          <w:rFonts w:ascii="Times New Roman" w:hAnsi="Times New Roman"/>
          <w:sz w:val="24"/>
        </w:rPr>
        <w:t xml:space="preserve">10</w:t>
      </w:r>
    </w:p>
    <w:p>
      <w:pPr>
        <w:spacing w:line="240" w:lineRule="auto" w:before="0" w:after="240"/>
      </w:pPr>
      <w:r>
        <w:rPr>
          <w:rFonts w:ascii="Times New Roman" w:hAnsi="Times New Roman"/>
          <w:sz w:val="24"/>
        </w:rPr>
        <w:t xml:space="preserve">Comorbidities</w:t>
      </w:r>
    </w:p>
    <w:p>
      <w:pPr>
        <w:spacing w:line="240" w:lineRule="auto" w:before="0" w:after="240"/>
      </w:pPr>
      <w:r>
        <w:rPr>
          <w:rFonts w:ascii="Times New Roman" w:hAnsi="Times New Roman"/>
          <w:sz w:val="24"/>
        </w:rPr>
        <w:t xml:space="preserve">Diabetes mellitus</w:t>
      </w:r>
    </w:p>
    <w:p>
      <w:pPr>
        <w:spacing w:line="240" w:lineRule="auto" w:before="0" w:after="240"/>
      </w:pPr>
      <w:r>
        <w:rPr>
          <w:rFonts w:ascii="Times New Roman" w:hAnsi="Times New Roman"/>
          <w:sz w:val="24"/>
        </w:rPr>
        <w:t xml:space="preserve">16</w:t>
      </w:r>
    </w:p>
    <w:p>
      <w:pPr>
        <w:spacing w:line="240" w:lineRule="auto" w:before="0" w:after="240"/>
      </w:pPr>
      <w:r>
        <w:rPr>
          <w:rFonts w:ascii="Times New Roman" w:hAnsi="Times New Roman"/>
          <w:sz w:val="24"/>
        </w:rPr>
        <w:t xml:space="preserve">Hypertension</w:t>
      </w:r>
    </w:p>
    <w:p>
      <w:pPr>
        <w:spacing w:line="240" w:lineRule="auto" w:before="0" w:after="240"/>
      </w:pPr>
      <w:r>
        <w:rPr>
          <w:rFonts w:ascii="Times New Roman" w:hAnsi="Times New Roman"/>
          <w:sz w:val="24"/>
        </w:rPr>
        <w:t xml:space="preserve">14</w:t>
      </w:r>
    </w:p>
    <w:p>
      <w:pPr>
        <w:spacing w:line="240" w:lineRule="auto" w:before="0" w:after="240"/>
      </w:pPr>
      <w:r>
        <w:rPr>
          <w:rFonts w:ascii="Times New Roman" w:hAnsi="Times New Roman"/>
          <w:sz w:val="24"/>
        </w:rPr>
        <w:t xml:space="preserve">Thyroid</w:t>
      </w:r>
    </w:p>
    <w:p>
      <w:pPr>
        <w:spacing w:line="240" w:lineRule="auto" w:before="0" w:after="240"/>
      </w:pPr>
      <w:r>
        <w:rPr>
          <w:rFonts w:ascii="Times New Roman" w:hAnsi="Times New Roman"/>
          <w:sz w:val="24"/>
        </w:rPr>
        <w:t xml:space="preserve">0</w:t>
      </w:r>
    </w:p>
    <w:p>
      <w:pPr>
        <w:spacing w:line="240" w:lineRule="auto" w:before="0" w:after="240"/>
      </w:pPr>
      <w:r>
        <w:rPr>
          <w:rFonts w:ascii="Times New Roman" w:hAnsi="Times New Roman"/>
          <w:sz w:val="24"/>
        </w:rPr>
        <w:t xml:space="preserve">Table 2: Comparison of NPRS and ROM within Group A &amp; Group B</w:t>
      </w:r>
    </w:p>
    <w:p>
      <w:pPr>
        <w:spacing w:line="240" w:lineRule="auto" w:before="0" w:after="240"/>
      </w:pPr>
      <w:r>
        <w:rPr>
          <w:rFonts w:ascii="Times New Roman" w:hAnsi="Times New Roman"/>
          <w:sz w:val="24"/>
        </w:rPr>
        <w:t xml:space="preserve">NPRS Outcome</w:t>
      </w:r>
    </w:p>
    <w:p>
      <w:pPr>
        <w:spacing w:line="240" w:lineRule="auto" w:before="0" w:after="240"/>
      </w:pPr>
      <w:r>
        <w:rPr>
          <w:rFonts w:ascii="Times New Roman" w:hAnsi="Times New Roman"/>
          <w:sz w:val="24"/>
        </w:rPr>
        <w:t xml:space="preserve">Pre-Test</w:t>
      </w:r>
    </w:p>
    <w:p>
      <w:pPr>
        <w:spacing w:line="240" w:lineRule="auto" w:before="0" w:after="240"/>
      </w:pPr>
      <w:r>
        <w:rPr>
          <w:rFonts w:ascii="Times New Roman" w:hAnsi="Times New Roman"/>
          <w:sz w:val="24"/>
        </w:rPr>
        <w:t xml:space="preserve">Mean ± SD</w:t>
      </w:r>
    </w:p>
    <w:p>
      <w:pPr>
        <w:spacing w:line="240" w:lineRule="auto" w:before="0" w:after="240"/>
      </w:pPr>
      <w:r>
        <w:rPr>
          <w:rFonts w:ascii="Times New Roman" w:hAnsi="Times New Roman"/>
          <w:sz w:val="24"/>
        </w:rPr>
        <w:t xml:space="preserve">Post-Test</w:t>
      </w:r>
    </w:p>
    <w:p>
      <w:pPr>
        <w:spacing w:line="240" w:lineRule="auto" w:before="0" w:after="240"/>
      </w:pPr>
      <w:r>
        <w:rPr>
          <w:rFonts w:ascii="Times New Roman" w:hAnsi="Times New Roman"/>
          <w:sz w:val="24"/>
        </w:rPr>
        <w:t xml:space="preserve">Mean ± SD</w:t>
      </w:r>
    </w:p>
    <w:p>
      <w:pPr>
        <w:spacing w:line="240" w:lineRule="auto" w:before="0" w:after="240"/>
      </w:pPr>
      <w:r>
        <w:rPr>
          <w:rFonts w:ascii="Times New Roman" w:hAnsi="Times New Roman"/>
          <w:sz w:val="24"/>
        </w:rPr>
        <w:t xml:space="preserve">Z value</w:t>
      </w:r>
    </w:p>
    <w:p>
      <w:pPr>
        <w:spacing w:line="240" w:lineRule="auto" w:before="0" w:after="240"/>
      </w:pPr>
      <w:r>
        <w:rPr>
          <w:rFonts w:ascii="Times New Roman" w:hAnsi="Times New Roman"/>
          <w:sz w:val="24"/>
        </w:rPr>
        <w:t xml:space="preserve">P-value</w:t>
      </w:r>
    </w:p>
    <w:p>
      <w:pPr>
        <w:spacing w:line="240" w:lineRule="auto" w:before="0" w:after="240"/>
      </w:pPr>
      <w:r>
        <w:rPr>
          <w:rFonts w:ascii="Times New Roman" w:hAnsi="Times New Roman"/>
          <w:sz w:val="24"/>
        </w:rPr>
        <w:t xml:space="preserve">Group A (N=25)</w:t>
      </w:r>
    </w:p>
    <w:p>
      <w:pPr>
        <w:spacing w:line="240" w:lineRule="auto" w:before="0" w:after="240"/>
      </w:pPr>
      <w:r>
        <w:rPr>
          <w:rFonts w:ascii="Times New Roman" w:hAnsi="Times New Roman"/>
          <w:sz w:val="24"/>
        </w:rPr>
        <w:t xml:space="preserve">7.28±0.737</w:t>
      </w:r>
    </w:p>
    <w:p>
      <w:pPr>
        <w:spacing w:line="240" w:lineRule="auto" w:before="0" w:after="240"/>
      </w:pPr>
      <w:r>
        <w:rPr>
          <w:rFonts w:ascii="Times New Roman" w:hAnsi="Times New Roman"/>
          <w:sz w:val="24"/>
        </w:rPr>
        <w:t xml:space="preserve">5.28±1.061</w:t>
      </w:r>
    </w:p>
    <w:p>
      <w:pPr>
        <w:spacing w:line="240" w:lineRule="auto" w:before="0" w:after="240"/>
      </w:pPr>
      <w:r>
        <w:rPr>
          <w:rFonts w:ascii="Times New Roman" w:hAnsi="Times New Roman"/>
          <w:sz w:val="24"/>
        </w:rPr>
        <w:t xml:space="preserve">-4.187</w:t>
      </w:r>
    </w:p>
    <w:p>
      <w:pPr>
        <w:spacing w:line="240" w:lineRule="auto" w:before="0" w:after="240"/>
      </w:pPr>
      <w:r>
        <w:rPr>
          <w:rFonts w:ascii="Times New Roman" w:hAnsi="Times New Roman"/>
          <w:sz w:val="24"/>
        </w:rPr>
        <w:t xml:space="preserve">&lt;0.001</w:t>
      </w:r>
    </w:p>
    <w:p>
      <w:pPr>
        <w:spacing w:line="240" w:lineRule="auto" w:before="0" w:after="240"/>
      </w:pPr>
      <w:r>
        <w:rPr>
          <w:rFonts w:ascii="Times New Roman" w:hAnsi="Times New Roman"/>
          <w:sz w:val="24"/>
        </w:rPr>
        <w:t xml:space="preserve">Group B (N=25)</w:t>
      </w:r>
    </w:p>
    <w:p>
      <w:pPr>
        <w:spacing w:line="240" w:lineRule="auto" w:before="0" w:after="240"/>
      </w:pPr>
      <w:r>
        <w:rPr>
          <w:rFonts w:ascii="Times New Roman" w:hAnsi="Times New Roman"/>
          <w:sz w:val="24"/>
        </w:rPr>
        <w:t xml:space="preserve">7.16±0.800</w:t>
      </w:r>
    </w:p>
    <w:p>
      <w:pPr>
        <w:spacing w:line="240" w:lineRule="auto" w:before="0" w:after="240"/>
      </w:pPr>
      <w:r>
        <w:rPr>
          <w:rFonts w:ascii="Times New Roman" w:hAnsi="Times New Roman"/>
          <w:sz w:val="24"/>
        </w:rPr>
        <w:t xml:space="preserve">6.44±1.003</w:t>
      </w:r>
    </w:p>
    <w:p>
      <w:pPr>
        <w:spacing w:line="240" w:lineRule="auto" w:before="0" w:after="240"/>
      </w:pPr>
      <w:r>
        <w:rPr>
          <w:rFonts w:ascii="Times New Roman" w:hAnsi="Times New Roman"/>
          <w:sz w:val="24"/>
        </w:rPr>
        <w:t xml:space="preserve">-4.025</w:t>
      </w:r>
    </w:p>
    <w:p>
      <w:pPr>
        <w:spacing w:line="240" w:lineRule="auto" w:before="0" w:after="240"/>
      </w:pPr>
      <w:r>
        <w:rPr>
          <w:rFonts w:ascii="Times New Roman" w:hAnsi="Times New Roman"/>
          <w:sz w:val="24"/>
        </w:rPr>
        <w:t xml:space="preserve">&lt;0.001</w:t>
      </w:r>
    </w:p>
    <w:p>
      <w:pPr>
        <w:spacing w:line="240" w:lineRule="auto" w:before="0" w:after="240"/>
      </w:pPr>
      <w:r>
        <w:rPr>
          <w:rFonts w:ascii="Times New Roman" w:hAnsi="Times New Roman"/>
          <w:sz w:val="24"/>
        </w:rPr>
        <w:t xml:space="preserve">ROM Outcome</w:t>
      </w:r>
    </w:p>
    <w:p>
      <w:pPr>
        <w:spacing w:line="240" w:lineRule="auto" w:before="0" w:after="240"/>
      </w:pPr>
      <w:r>
        <w:rPr>
          <w:rFonts w:ascii="Times New Roman" w:hAnsi="Times New Roman"/>
          <w:sz w:val="24"/>
        </w:rPr>
        <w:t xml:space="preserve">Pre-Test</w:t>
      </w:r>
    </w:p>
    <w:p>
      <w:pPr>
        <w:spacing w:line="240" w:lineRule="auto" w:before="0" w:after="240"/>
      </w:pPr>
      <w:r>
        <w:rPr>
          <w:rFonts w:ascii="Times New Roman" w:hAnsi="Times New Roman"/>
          <w:sz w:val="24"/>
        </w:rPr>
        <w:t xml:space="preserve">Mean ± SD</w:t>
      </w:r>
    </w:p>
    <w:p>
      <w:pPr>
        <w:spacing w:line="240" w:lineRule="auto" w:before="0" w:after="240"/>
      </w:pPr>
      <w:r>
        <w:rPr>
          <w:rFonts w:ascii="Times New Roman" w:hAnsi="Times New Roman"/>
          <w:sz w:val="24"/>
        </w:rPr>
        <w:t xml:space="preserve">Post-Test</w:t>
      </w:r>
    </w:p>
    <w:p>
      <w:pPr>
        <w:spacing w:line="240" w:lineRule="auto" w:before="0" w:after="240"/>
      </w:pPr>
      <w:r>
        <w:rPr>
          <w:rFonts w:ascii="Times New Roman" w:hAnsi="Times New Roman"/>
          <w:sz w:val="24"/>
        </w:rPr>
        <w:t xml:space="preserve">Mean ± SD</w:t>
      </w:r>
    </w:p>
    <w:p>
      <w:pPr>
        <w:spacing w:line="240" w:lineRule="auto" w:before="0" w:after="240"/>
      </w:pPr>
      <w:r>
        <w:rPr>
          <w:rFonts w:ascii="Times New Roman" w:hAnsi="Times New Roman"/>
          <w:sz w:val="24"/>
        </w:rPr>
        <w:t xml:space="preserve">Z value</w:t>
      </w:r>
    </w:p>
    <w:p>
      <w:pPr>
        <w:spacing w:line="240" w:lineRule="auto" w:before="0" w:after="240"/>
      </w:pPr>
      <w:r>
        <w:rPr>
          <w:rFonts w:ascii="Times New Roman" w:hAnsi="Times New Roman"/>
          <w:sz w:val="24"/>
        </w:rPr>
        <w:t xml:space="preserve">P-value</w:t>
      </w:r>
    </w:p>
    <w:p>
      <w:pPr>
        <w:spacing w:line="240" w:lineRule="auto" w:before="0" w:after="240"/>
      </w:pPr>
      <w:r>
        <w:rPr>
          <w:rFonts w:ascii="Times New Roman" w:hAnsi="Times New Roman"/>
          <w:sz w:val="24"/>
        </w:rPr>
        <w:t xml:space="preserve">Group A (N=25)</w:t>
      </w:r>
    </w:p>
    <w:p>
      <w:pPr>
        <w:spacing w:line="240" w:lineRule="auto" w:before="0" w:after="240"/>
      </w:pPr>
      <w:r>
        <w:rPr>
          <w:rFonts w:ascii="Times New Roman" w:hAnsi="Times New Roman"/>
          <w:sz w:val="24"/>
        </w:rPr>
        <w:t xml:space="preserve">47.16±1.675</w:t>
      </w:r>
    </w:p>
    <w:p>
      <w:pPr>
        <w:spacing w:line="240" w:lineRule="auto" w:before="0" w:after="240"/>
      </w:pPr>
      <w:r>
        <w:rPr>
          <w:rFonts w:ascii="Times New Roman" w:hAnsi="Times New Roman"/>
          <w:sz w:val="24"/>
        </w:rPr>
        <w:t xml:space="preserve">52.12±1.616</w:t>
      </w:r>
    </w:p>
    <w:p>
      <w:pPr>
        <w:spacing w:line="240" w:lineRule="auto" w:before="0" w:after="240"/>
      </w:pPr>
      <w:r>
        <w:rPr>
          <w:rFonts w:ascii="Times New Roman" w:hAnsi="Times New Roman"/>
          <w:sz w:val="24"/>
        </w:rPr>
        <w:t xml:space="preserve">-4.441</w:t>
      </w:r>
    </w:p>
    <w:p>
      <w:pPr>
        <w:spacing w:line="240" w:lineRule="auto" w:before="0" w:after="240"/>
      </w:pPr>
      <w:r>
        <w:rPr>
          <w:rFonts w:ascii="Times New Roman" w:hAnsi="Times New Roman"/>
          <w:sz w:val="24"/>
        </w:rPr>
        <w:t xml:space="preserve">&lt;0.001</w:t>
      </w:r>
    </w:p>
    <w:p>
      <w:pPr>
        <w:spacing w:line="240" w:lineRule="auto" w:before="0" w:after="240"/>
      </w:pPr>
      <w:r>
        <w:rPr>
          <w:rFonts w:ascii="Times New Roman" w:hAnsi="Times New Roman"/>
          <w:sz w:val="24"/>
        </w:rPr>
        <w:t xml:space="preserve">Group B (N=25)</w:t>
      </w:r>
    </w:p>
    <w:p>
      <w:pPr>
        <w:spacing w:line="240" w:lineRule="auto" w:before="0" w:after="240"/>
      </w:pPr>
      <w:r>
        <w:rPr>
          <w:rFonts w:ascii="Times New Roman" w:hAnsi="Times New Roman"/>
          <w:sz w:val="24"/>
        </w:rPr>
        <w:t xml:space="preserve">47.36±1.777</w:t>
      </w:r>
    </w:p>
    <w:p>
      <w:pPr>
        <w:spacing w:line="240" w:lineRule="auto" w:before="0" w:after="240"/>
      </w:pPr>
      <w:r>
        <w:rPr>
          <w:rFonts w:ascii="Times New Roman" w:hAnsi="Times New Roman"/>
          <w:sz w:val="24"/>
        </w:rPr>
        <w:t xml:space="preserve">48.88±2.147</w:t>
      </w:r>
    </w:p>
    <w:p>
      <w:pPr>
        <w:spacing w:line="240" w:lineRule="auto" w:before="0" w:after="240"/>
      </w:pPr>
      <w:r>
        <w:rPr>
          <w:rFonts w:ascii="Times New Roman" w:hAnsi="Times New Roman"/>
          <w:sz w:val="24"/>
        </w:rPr>
        <w:t xml:space="preserve">-3.992</w:t>
      </w:r>
    </w:p>
    <w:p>
      <w:pPr>
        <w:spacing w:line="240" w:lineRule="auto" w:before="0" w:after="240"/>
      </w:pPr>
      <w:r>
        <w:rPr>
          <w:rFonts w:ascii="Times New Roman" w:hAnsi="Times New Roman"/>
          <w:sz w:val="24"/>
        </w:rPr>
        <w:t xml:space="preserve">&lt;0.001</w:t>
      </w:r>
    </w:p>
    <w:p>
      <w:pPr>
        <w:spacing w:line="240" w:lineRule="auto" w:before="0" w:after="240"/>
      </w:pPr>
      <w:r>
        <w:rPr>
          <w:rFonts w:ascii="Times New Roman" w:hAnsi="Times New Roman"/>
          <w:sz w:val="24"/>
        </w:rPr>
        <w:t xml:space="preserve">Table 3: Difference in NPRS and ROM between pre &amp; post test</w:t>
      </w:r>
    </w:p>
    <w:p>
      <w:pPr>
        <w:pStyle w:val="Heading1"/>
        <w:spacing w:line="240" w:lineRule="auto" w:before="0" w:after="240"/>
      </w:pPr>
      <w:r>
        <w:rPr>
          <w:b/>
          <w:rFonts w:ascii="Times New Roman" w:hAnsi="Times New Roman"/>
          <w:sz w:val="24"/>
        </w:rPr>
        <w:t xml:space="preserve">NPRS</w:t>
      </w:r>
    </w:p>
    <w:p>
      <w:pPr>
        <w:spacing w:line="240" w:lineRule="auto" w:before="0" w:after="240"/>
      </w:pPr>
      <w:r>
        <w:rPr>
          <w:rFonts w:ascii="Times New Roman" w:hAnsi="Times New Roman"/>
          <w:sz w:val="24"/>
        </w:rPr>
        <w:t xml:space="preserve">Mean ± SD</w:t>
      </w:r>
    </w:p>
    <w:p>
      <w:pPr>
        <w:spacing w:line="240" w:lineRule="auto" w:before="0" w:after="240"/>
      </w:pPr>
      <w:r>
        <w:rPr>
          <w:rFonts w:ascii="Times New Roman" w:hAnsi="Times New Roman"/>
          <w:sz w:val="24"/>
        </w:rPr>
        <w:t xml:space="preserve">Z value</w:t>
      </w:r>
    </w:p>
    <w:p>
      <w:pPr>
        <w:pStyle w:val="Heading1"/>
        <w:spacing w:line="240" w:lineRule="auto" w:before="0" w:after="240"/>
      </w:pPr>
      <w:r>
        <w:rPr>
          <w:b/>
          <w:rFonts w:ascii="Times New Roman" w:hAnsi="Times New Roman"/>
          <w:sz w:val="24"/>
        </w:rPr>
        <w:t xml:space="preserve">W</w:t>
      </w:r>
    </w:p>
    <w:p>
      <w:pPr>
        <w:pStyle w:val="Heading1"/>
        <w:spacing w:line="240" w:lineRule="auto" w:before="0" w:after="240"/>
      </w:pPr>
      <w:r>
        <w:rPr>
          <w:b/>
          <w:rFonts w:ascii="Times New Roman" w:hAnsi="Times New Roman"/>
          <w:sz w:val="24"/>
        </w:rPr>
        <w:t xml:space="preserve">U</w:t>
      </w:r>
    </w:p>
    <w:p>
      <w:pPr>
        <w:spacing w:line="240" w:lineRule="auto" w:before="0" w:after="240"/>
      </w:pPr>
      <w:r>
        <w:rPr>
          <w:rFonts w:ascii="Times New Roman" w:hAnsi="Times New Roman"/>
          <w:sz w:val="24"/>
        </w:rPr>
        <w:t xml:space="preserve">P-value</w:t>
      </w:r>
    </w:p>
    <w:p>
      <w:pPr>
        <w:spacing w:line="240" w:lineRule="auto" w:before="0" w:after="240"/>
      </w:pPr>
      <w:r>
        <w:rPr>
          <w:rFonts w:ascii="Times New Roman" w:hAnsi="Times New Roman"/>
          <w:sz w:val="24"/>
        </w:rPr>
        <w:t xml:space="preserve">R-value</w:t>
      </w:r>
    </w:p>
    <w:p>
      <w:pPr>
        <w:spacing w:line="240" w:lineRule="auto" w:before="0" w:after="240"/>
      </w:pPr>
      <w:r>
        <w:rPr>
          <w:rFonts w:ascii="Times New Roman" w:hAnsi="Times New Roman"/>
          <w:sz w:val="24"/>
        </w:rPr>
        <w:t xml:space="preserve">Pre-test</w:t>
      </w:r>
    </w:p>
    <w:p>
      <w:pPr>
        <w:spacing w:line="240" w:lineRule="auto" w:before="0" w:after="240"/>
      </w:pPr>
      <w:r>
        <w:rPr>
          <w:rFonts w:ascii="Times New Roman" w:hAnsi="Times New Roman"/>
          <w:sz w:val="24"/>
        </w:rPr>
        <w:t xml:space="preserve">7.22±0.764</w:t>
      </w:r>
    </w:p>
    <w:p>
      <w:pPr>
        <w:spacing w:line="240" w:lineRule="auto" w:before="0" w:after="240"/>
      </w:pPr>
      <w:r>
        <w:rPr>
          <w:rFonts w:ascii="Times New Roman" w:hAnsi="Times New Roman"/>
          <w:sz w:val="24"/>
        </w:rPr>
        <w:t xml:space="preserve">-0.512</w:t>
      </w:r>
    </w:p>
    <w:p>
      <w:pPr>
        <w:spacing w:line="240" w:lineRule="auto" w:before="0" w:after="240"/>
      </w:pPr>
      <w:r>
        <w:rPr>
          <w:rFonts w:ascii="Times New Roman" w:hAnsi="Times New Roman"/>
          <w:sz w:val="24"/>
        </w:rPr>
        <w:t xml:space="preserve">613</w:t>
      </w:r>
    </w:p>
    <w:p>
      <w:pPr>
        <w:spacing w:line="240" w:lineRule="auto" w:before="0" w:after="240"/>
      </w:pPr>
      <w:r>
        <w:rPr>
          <w:rFonts w:ascii="Times New Roman" w:hAnsi="Times New Roman"/>
          <w:sz w:val="24"/>
        </w:rPr>
        <w:t xml:space="preserve">288.00</w:t>
      </w:r>
    </w:p>
    <w:p>
      <w:pPr>
        <w:spacing w:line="240" w:lineRule="auto" w:before="0" w:after="240"/>
      </w:pPr>
      <w:r>
        <w:rPr>
          <w:rFonts w:ascii="Times New Roman" w:hAnsi="Times New Roman"/>
          <w:sz w:val="24"/>
        </w:rPr>
        <w:t xml:space="preserve">0.609</w:t>
      </w:r>
    </w:p>
    <w:p>
      <w:pPr>
        <w:spacing w:line="240" w:lineRule="auto" w:before="0" w:after="240"/>
      </w:pPr>
      <w:r>
        <w:rPr>
          <w:rFonts w:ascii="Times New Roman" w:hAnsi="Times New Roman"/>
          <w:sz w:val="24"/>
        </w:rPr>
        <w:t xml:space="preserve">0.072</w:t>
      </w:r>
    </w:p>
    <w:p>
      <w:pPr>
        <w:spacing w:line="240" w:lineRule="auto" w:before="0" w:after="240"/>
      </w:pPr>
      <w:r>
        <w:rPr>
          <w:rFonts w:ascii="Times New Roman" w:hAnsi="Times New Roman"/>
          <w:sz w:val="24"/>
        </w:rPr>
        <w:t xml:space="preserve">Post-test</w:t>
      </w:r>
    </w:p>
    <w:p>
      <w:pPr>
        <w:spacing w:line="240" w:lineRule="auto" w:before="0" w:after="240"/>
      </w:pPr>
      <w:r>
        <w:rPr>
          <w:rFonts w:ascii="Times New Roman" w:hAnsi="Times New Roman"/>
          <w:sz w:val="24"/>
        </w:rPr>
        <w:t xml:space="preserve">5.86±1.178</w:t>
      </w:r>
    </w:p>
    <w:p>
      <w:pPr>
        <w:spacing w:line="240" w:lineRule="auto" w:before="0" w:after="240"/>
      </w:pPr>
      <w:r>
        <w:rPr>
          <w:rFonts w:ascii="Times New Roman" w:hAnsi="Times New Roman"/>
          <w:sz w:val="24"/>
        </w:rPr>
        <w:t xml:space="preserve">-3.508</w:t>
      </w:r>
    </w:p>
    <w:p>
      <w:pPr>
        <w:spacing w:line="240" w:lineRule="auto" w:before="0" w:after="240"/>
      </w:pPr>
      <w:r>
        <w:rPr>
          <w:rFonts w:ascii="Times New Roman" w:hAnsi="Times New Roman"/>
          <w:sz w:val="24"/>
        </w:rPr>
        <w:t xml:space="preserve">462</w:t>
      </w:r>
    </w:p>
    <w:p>
      <w:pPr>
        <w:spacing w:line="240" w:lineRule="auto" w:before="0" w:after="240"/>
      </w:pPr>
      <w:r>
        <w:rPr>
          <w:rFonts w:ascii="Times New Roman" w:hAnsi="Times New Roman"/>
          <w:sz w:val="24"/>
        </w:rPr>
        <w:t xml:space="preserve">137.5</w:t>
      </w:r>
    </w:p>
    <w:p>
      <w:pPr>
        <w:spacing w:line="240" w:lineRule="auto" w:before="0" w:after="240"/>
      </w:pPr>
      <w:r>
        <w:rPr>
          <w:rFonts w:ascii="Times New Roman" w:hAnsi="Times New Roman"/>
          <w:sz w:val="24"/>
        </w:rPr>
        <w:t xml:space="preserve">&lt;0.001</w:t>
      </w:r>
    </w:p>
    <w:p>
      <w:pPr>
        <w:spacing w:line="240" w:lineRule="auto" w:before="0" w:after="240"/>
      </w:pPr>
      <w:r>
        <w:rPr>
          <w:rFonts w:ascii="Times New Roman" w:hAnsi="Times New Roman"/>
          <w:sz w:val="24"/>
        </w:rPr>
        <w:t xml:space="preserve">0.496</w:t>
      </w:r>
    </w:p>
    <w:p>
      <w:pPr>
        <w:pStyle w:val="Heading1"/>
        <w:spacing w:line="240" w:lineRule="auto" w:before="0" w:after="240"/>
      </w:pPr>
      <w:r>
        <w:rPr>
          <w:b/>
          <w:rFonts w:ascii="Times New Roman" w:hAnsi="Times New Roman"/>
          <w:sz w:val="24"/>
        </w:rPr>
        <w:t xml:space="preserve">NPRS</w:t>
      </w:r>
    </w:p>
    <w:p>
      <w:pPr>
        <w:spacing w:line="240" w:lineRule="auto" w:before="0" w:after="240"/>
      </w:pPr>
      <w:r>
        <w:rPr>
          <w:rFonts w:ascii="Times New Roman" w:hAnsi="Times New Roman"/>
          <w:sz w:val="24"/>
        </w:rPr>
        <w:t xml:space="preserve">Mean ± SD</w:t>
      </w:r>
    </w:p>
    <w:p>
      <w:pPr>
        <w:spacing w:line="240" w:lineRule="auto" w:before="0" w:after="240"/>
      </w:pPr>
      <w:r>
        <w:rPr>
          <w:rFonts w:ascii="Times New Roman" w:hAnsi="Times New Roman"/>
          <w:sz w:val="24"/>
        </w:rPr>
        <w:t xml:space="preserve">Z value</w:t>
      </w:r>
    </w:p>
    <w:p>
      <w:pPr>
        <w:pStyle w:val="Heading1"/>
        <w:spacing w:line="240" w:lineRule="auto" w:before="0" w:after="240"/>
      </w:pPr>
      <w:r>
        <w:rPr>
          <w:b/>
          <w:rFonts w:ascii="Times New Roman" w:hAnsi="Times New Roman"/>
          <w:sz w:val="24"/>
        </w:rPr>
        <w:t xml:space="preserve">W</w:t>
      </w:r>
    </w:p>
    <w:p>
      <w:pPr>
        <w:pStyle w:val="Heading1"/>
        <w:spacing w:line="240" w:lineRule="auto" w:before="0" w:after="240"/>
      </w:pPr>
      <w:r>
        <w:rPr>
          <w:b/>
          <w:rFonts w:ascii="Times New Roman" w:hAnsi="Times New Roman"/>
          <w:sz w:val="24"/>
        </w:rPr>
        <w:t xml:space="preserve">U</w:t>
      </w:r>
    </w:p>
    <w:p>
      <w:pPr>
        <w:spacing w:line="240" w:lineRule="auto" w:before="0" w:after="240"/>
      </w:pPr>
      <w:r>
        <w:rPr>
          <w:rFonts w:ascii="Times New Roman" w:hAnsi="Times New Roman"/>
          <w:sz w:val="24"/>
        </w:rPr>
        <w:t xml:space="preserve">P-value</w:t>
      </w:r>
    </w:p>
    <w:p>
      <w:pPr>
        <w:spacing w:line="240" w:lineRule="auto" w:before="0" w:after="240"/>
      </w:pPr>
      <w:r>
        <w:rPr>
          <w:rFonts w:ascii="Times New Roman" w:hAnsi="Times New Roman"/>
          <w:sz w:val="24"/>
        </w:rPr>
        <w:t xml:space="preserve">R-value</w:t>
      </w:r>
    </w:p>
    <w:p>
      <w:pPr>
        <w:spacing w:line="240" w:lineRule="auto" w:before="0" w:after="240"/>
      </w:pPr>
      <w:r>
        <w:rPr>
          <w:rFonts w:ascii="Times New Roman" w:hAnsi="Times New Roman"/>
          <w:sz w:val="24"/>
        </w:rPr>
        <w:t xml:space="preserve">Pre-test</w:t>
      </w:r>
    </w:p>
    <w:p>
      <w:pPr>
        <w:spacing w:line="240" w:lineRule="auto" w:before="0" w:after="240"/>
      </w:pPr>
      <w:r>
        <w:rPr>
          <w:rFonts w:ascii="Times New Roman" w:hAnsi="Times New Roman"/>
          <w:sz w:val="24"/>
        </w:rPr>
        <w:t xml:space="preserve">47.26±1.712</w:t>
      </w:r>
    </w:p>
    <w:p>
      <w:pPr>
        <w:spacing w:line="240" w:lineRule="auto" w:before="0" w:after="240"/>
      </w:pPr>
      <w:r>
        <w:rPr>
          <w:rFonts w:ascii="Times New Roman" w:hAnsi="Times New Roman"/>
          <w:sz w:val="24"/>
        </w:rPr>
        <w:t xml:space="preserve">-0.423</w:t>
      </w:r>
    </w:p>
    <w:p>
      <w:pPr>
        <w:spacing w:line="240" w:lineRule="auto" w:before="0" w:after="240"/>
      </w:pPr>
      <w:r>
        <w:rPr>
          <w:rFonts w:ascii="Times New Roman" w:hAnsi="Times New Roman"/>
          <w:sz w:val="24"/>
        </w:rPr>
        <w:t xml:space="preserve">616</w:t>
      </w:r>
    </w:p>
    <w:p>
      <w:pPr>
        <w:spacing w:line="240" w:lineRule="auto" w:before="0" w:after="240"/>
      </w:pPr>
      <w:r>
        <w:rPr>
          <w:rFonts w:ascii="Times New Roman" w:hAnsi="Times New Roman"/>
          <w:sz w:val="24"/>
        </w:rPr>
        <w:t xml:space="preserve">291.00</w:t>
      </w:r>
    </w:p>
    <w:p>
      <w:pPr>
        <w:spacing w:line="240" w:lineRule="auto" w:before="0" w:after="240"/>
      </w:pPr>
      <w:r>
        <w:rPr>
          <w:rFonts w:ascii="Times New Roman" w:hAnsi="Times New Roman"/>
          <w:sz w:val="24"/>
        </w:rPr>
        <w:t xml:space="preserve">0.672</w:t>
      </w:r>
    </w:p>
    <w:p>
      <w:pPr>
        <w:spacing w:line="240" w:lineRule="auto" w:before="0" w:after="240"/>
      </w:pPr>
      <w:r>
        <w:rPr>
          <w:rFonts w:ascii="Times New Roman" w:hAnsi="Times New Roman"/>
          <w:sz w:val="24"/>
        </w:rPr>
        <w:t xml:space="preserve">195.195</w:t>
      </w:r>
    </w:p>
    <w:p>
      <w:pPr>
        <w:spacing w:line="240" w:lineRule="auto" w:before="0" w:after="240"/>
      </w:pPr>
      <w:r>
        <w:rPr>
          <w:rFonts w:ascii="Times New Roman" w:hAnsi="Times New Roman"/>
          <w:sz w:val="24"/>
        </w:rPr>
        <w:t xml:space="preserve">Post-test</w:t>
      </w:r>
    </w:p>
    <w:p>
      <w:pPr>
        <w:spacing w:line="240" w:lineRule="auto" w:before="0" w:after="240"/>
      </w:pPr>
      <w:r>
        <w:rPr>
          <w:rFonts w:ascii="Times New Roman" w:hAnsi="Times New Roman"/>
          <w:sz w:val="24"/>
        </w:rPr>
        <w:t xml:space="preserve">50.50±2.493</w:t>
      </w:r>
    </w:p>
    <w:p>
      <w:pPr>
        <w:spacing w:line="240" w:lineRule="auto" w:before="0" w:after="240"/>
      </w:pPr>
      <w:r>
        <w:rPr>
          <w:rFonts w:ascii="Times New Roman" w:hAnsi="Times New Roman"/>
          <w:sz w:val="24"/>
        </w:rPr>
        <w:t xml:space="preserve">-2.678</w:t>
      </w:r>
    </w:p>
    <w:p>
      <w:pPr>
        <w:spacing w:line="240" w:lineRule="auto" w:before="0" w:after="240"/>
      </w:pPr>
      <w:r>
        <w:rPr>
          <w:rFonts w:ascii="Times New Roman" w:hAnsi="Times New Roman"/>
          <w:sz w:val="24"/>
        </w:rPr>
        <w:t xml:space="preserve">399.5</w:t>
      </w:r>
    </w:p>
    <w:p>
      <w:pPr>
        <w:spacing w:line="240" w:lineRule="auto" w:before="0" w:after="240"/>
      </w:pPr>
      <w:r>
        <w:rPr>
          <w:rFonts w:ascii="Times New Roman" w:hAnsi="Times New Roman"/>
          <w:sz w:val="24"/>
        </w:rPr>
        <w:t xml:space="preserve">74.50</w:t>
      </w:r>
    </w:p>
    <w:p>
      <w:pPr>
        <w:spacing w:line="240" w:lineRule="auto" w:before="0" w:after="240"/>
      </w:pPr>
      <w:r>
        <w:rPr>
          <w:rFonts w:ascii="Times New Roman" w:hAnsi="Times New Roman"/>
          <w:sz w:val="24"/>
        </w:rPr>
        <w:t xml:space="preserve">&lt;0.001</w:t>
      </w:r>
    </w:p>
    <w:p>
      <w:pPr>
        <w:spacing w:line="240" w:lineRule="auto" w:before="0" w:after="240"/>
      </w:pPr>
      <w:r>
        <w:rPr>
          <w:rFonts w:ascii="Times New Roman" w:hAnsi="Times New Roman"/>
          <w:sz w:val="24"/>
        </w:rPr>
        <w:t xml:space="preserve">143.245</w:t>
      </w:r>
    </w:p>
    <w:p>
      <w:pPr>
        <w:spacing w:line="240" w:lineRule="auto" w:before="0" w:after="240"/>
      </w:pPr>
      <w:r>
        <w:rPr>
          <w:rFonts w:ascii="Times New Roman" w:hAnsi="Times New Roman"/>
          <w:sz w:val="24"/>
        </w:rPr>
        <w:t xml:space="preserve">Figure 1: Consort flowchart of extension to randomized pilot and feasibility trials.</w:t>
      </w:r>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2026-05-23T11:32:44Z</dcterms:created>
  <dcterms:modified xsi:type="dcterms:W3CDTF">2026-05-23T11:32:44Z</dcterms:modified>
</cp:coreProperties>
</file>