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w:body>
    <w:p>
      <w:pPr>
        <w:spacing w:line="240" w:lineRule="auto" w:before="0" w:after="240"/>
      </w:pPr>
      <w:r>
        <w:rPr>
          <w:b/>
          <w:rFonts w:ascii="Times New Roman" w:hAnsi="Times New Roman"/>
          <w:sz w:val="24"/>
        </w:rPr>
        <w:t xml:space="preserve">Efficacy of Myofascial Release Compared to Isometric Relaxation Combined with Active Stretching for Rhomboid Trigger Points: A Randomized Controlled Pilot Study</w:t>
      </w:r>
    </w:p>
    <w:p>
      <w:pPr>
        <w:spacing w:line="240" w:lineRule="auto" w:before="0" w:after="240"/>
      </w:pPr>
      <w:r>
        <w:rPr>
          <w:rFonts w:ascii="Times New Roman" w:hAnsi="Times New Roman"/>
          <w:sz w:val="24"/>
        </w:rPr>
        <w:t xml:space="preserve">P. Kaviyarasan,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Sathya Siva, MPT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F. Khizar Husin,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D. Hareeshankar,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A. Fayaz,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Prathap Suganthirababu, PhD</w:t>
      </w:r>
      <w:r>
        <w:rPr>
          <w:rFonts w:ascii="Times New Roman" w:hAnsi="Times New Roman"/>
          <w:sz w:val="24"/>
        </w:rPr>
        <w:t xml:space="preserve">,</w:t>
      </w:r>
      <w:r>
        <w:rPr>
          <w:rFonts w:ascii="Times New Roman" w:hAnsi="Times New Roman"/>
          <w:sz w:val="24"/>
          <w:vertAlign w:val="superscript"/>
        </w:rPr>
        <w:t xml:space="preserve">1</w:t>
      </w:r>
    </w:p>
    <w:p>
      <w:pPr>
        <w:spacing w:line="240" w:lineRule="auto" w:before="0" w:after="240"/>
      </w:pPr>
      <w:r>
        <w:rPr>
          <w:rFonts w:ascii="Times New Roman" w:hAnsi="Times New Roman"/>
          <w:sz w:val="24"/>
          <w:vertAlign w:val="superscript"/>
        </w:rPr>
        <w:t xml:space="preserve">1</w:t>
      </w:r>
      <w:r>
        <w:rPr>
          <w:rFonts w:ascii="Times New Roman" w:hAnsi="Times New Roman"/>
          <w:sz w:val="24"/>
        </w:rPr>
        <w:t xml:space="preserve">Department of Physiotherapy, Saveetha Institute of Medical and Technical Sciences, Chennai, India</w:t>
      </w:r>
    </w:p>
    <w:p>
      <w:pPr>
        <w:spacing w:line="240" w:lineRule="auto" w:before="0" w:after="240"/>
      </w:pPr>
      <w:r>
        <w:rPr>
          <w:b/>
          <w:rFonts w:ascii="Times New Roman" w:hAnsi="Times New Roman"/>
          <w:sz w:val="24"/>
        </w:rPr>
        <w:t xml:space="preserve">&lt;Running head&gt;</w:t>
      </w:r>
      <w:r>
        <w:rPr>
          <w:rFonts w:ascii="Times New Roman" w:hAnsi="Times New Roman"/>
          <w:sz w:val="24"/>
        </w:rPr>
        <w:t xml:space="preserve"> KAVIYARASAN: EFFICACY OF MYOFASCIAL RELEASE TECHNIQUE VERSUS ISOMETRIC RELAXATION</w:t>
      </w:r>
    </w:p>
    <w:p>
      <w:pPr>
        <w:spacing w:line="240" w:lineRule="auto" w:before="0" w:after="240"/>
      </w:pPr>
      <w:r>
        <w:rPr>
          <w:b/>
          <w:rFonts w:ascii="Times New Roman" w:hAnsi="Times New Roman"/>
          <w:sz w:val="24"/>
        </w:rPr>
        <w:t xml:space="preserve">Corresponding Author:</w:t>
      </w:r>
      <w:r>
        <w:rPr>
          <w:rFonts w:ascii="Times New Roman" w:hAnsi="Times New Roman"/>
          <w:sz w:val="24"/>
        </w:rPr>
        <w:t xml:space="preserve"> Sathya Siva, Saveetha College Of Physiotherapy, Saveetha Institute of Medical and Technical Sciences, Chennai, India</w:t>
      </w:r>
      <w:r>
        <w:br/>
      </w:r>
      <w:r>
        <w:rPr>
          <w:b/>
          <w:rFonts w:ascii="Times New Roman" w:hAnsi="Times New Roman"/>
          <w:sz w:val="24"/>
        </w:rPr>
        <w:t xml:space="preserve">E-mail:</w:t>
      </w:r>
      <w:r>
        <w:rPr>
          <w:rFonts w:ascii="Times New Roman" w:hAnsi="Times New Roman"/>
          <w:sz w:val="24"/>
        </w:rPr>
        <w:t xml:space="preserve"> sathyasivakannan@gmail.com</w:t>
      </w:r>
      <w:r>
        <w:br/>
      </w:r>
      <w:r>
        <w:rPr>
          <w:rFonts w:ascii="Times New Roman" w:hAnsi="Times New Roman"/>
          <w:sz w:val="24"/>
        </w:rPr>
        <w:t xml:space="preserve">Tel: +91 9884579620</w:t>
      </w:r>
    </w:p>
    <w:p>
      <w:pPr>
        <w:pStyle w:val="Heading1"/>
        <w:spacing w:line="240" w:lineRule="auto" w:before="0" w:after="240"/>
      </w:pPr>
      <w:r>
        <w:rPr>
          <w:b/>
          <w:rFonts w:ascii="Times New Roman" w:hAnsi="Times New Roman"/>
          <w:sz w:val="24"/>
        </w:rPr>
        <w:t xml:space="preserve">REFERENCES:</w:t>
      </w:r>
    </w:p>
    <w:p>
      <w:pPr>
        <w:spacing w:line="240" w:lineRule="auto" w:before="0" w:after="240"/>
      </w:pPr>
      <w:r>
        <w:rPr>
          <w:rFonts w:ascii="Times New Roman" w:hAnsi="Times New Roman"/>
          <w:sz w:val="24"/>
        </w:rPr>
        <w:t xml:space="preserve">1. Simons DG, Travell JG, Simons LS. </w:t>
      </w:r>
      <w:r>
        <w:rPr>
          <w:i/>
          <w:rFonts w:ascii="Times New Roman" w:hAnsi="Times New Roman"/>
          <w:sz w:val="24"/>
        </w:rPr>
        <w:t xml:space="preserve">Myofascial Pain and Dysfunction: The Trigger Point Manual. Upper Half of Body</w:t>
      </w:r>
      <w:r>
        <w:rPr>
          <w:rFonts w:ascii="Times New Roman" w:hAnsi="Times New Roman"/>
          <w:sz w:val="24"/>
        </w:rPr>
        <w:t xml:space="preserve">. 2nd ed. Williams and Wilkins; 1999.</w:t>
      </w:r>
    </w:p>
    <w:p>
      <w:pPr>
        <w:spacing w:line="240" w:lineRule="auto" w:before="0" w:after="240"/>
      </w:pPr>
      <w:r>
        <w:rPr>
          <w:rFonts w:ascii="Times New Roman" w:hAnsi="Times New Roman"/>
          <w:sz w:val="24"/>
        </w:rPr>
        <w:t xml:space="preserve">2. Sergienko S, Kalichman L. Myofascial origin of shoulder pain: a literature review. </w:t>
      </w:r>
      <w:r>
        <w:rPr>
          <w:i/>
          <w:rFonts w:ascii="Times New Roman" w:hAnsi="Times New Roman"/>
          <w:sz w:val="24"/>
        </w:rPr>
        <w:t xml:space="preserve">J Bodyw Mov Ther</w:t>
      </w:r>
      <w:r>
        <w:rPr>
          <w:rFonts w:ascii="Times New Roman" w:hAnsi="Times New Roman"/>
          <w:sz w:val="24"/>
        </w:rPr>
        <w:t xml:space="preserve">. 2015;19(1):91-101. </w:t>
      </w:r>
      <w:hyperlink r:id="rId2" w:history="1">
        <w:r>
          <w:rPr>
            <w:color w:val="0000FF"/>
            <w:u w:val="single"/>
            <w:rFonts w:ascii="Times New Roman" w:hAnsi="Times New Roman"/>
            <w:sz w:val="24"/>
          </w:rPr>
          <w:t xml:space="preserve">https://doi.org/10.1016/j.jbmt.2014.05.004</w:t>
        </w:r>
      </w:hyperlink>
    </w:p>
    <w:p>
      <w:pPr>
        <w:spacing w:line="240" w:lineRule="auto" w:before="0" w:after="240"/>
      </w:pPr>
      <w:r>
        <w:rPr>
          <w:rFonts w:ascii="Times New Roman" w:hAnsi="Times New Roman"/>
          <w:sz w:val="24"/>
        </w:rPr>
        <w:t xml:space="preserve">3. Bron C, Dommerholt JD. Etiology of myofascial trigger points. </w:t>
      </w:r>
      <w:r>
        <w:rPr>
          <w:i/>
          <w:rFonts w:ascii="Times New Roman" w:hAnsi="Times New Roman"/>
          <w:sz w:val="24"/>
        </w:rPr>
        <w:t xml:space="preserve">Curr Pain Headache Rep</w:t>
      </w:r>
      <w:r>
        <w:rPr>
          <w:rFonts w:ascii="Times New Roman" w:hAnsi="Times New Roman"/>
          <w:sz w:val="24"/>
        </w:rPr>
        <w:t xml:space="preserve">. 2012;16(5):439-444. </w:t>
      </w:r>
      <w:hyperlink r:id="rId3" w:history="1">
        <w:r>
          <w:rPr>
            <w:color w:val="0000FF"/>
            <w:u w:val="single"/>
            <w:rFonts w:ascii="Times New Roman" w:hAnsi="Times New Roman"/>
            <w:sz w:val="24"/>
          </w:rPr>
          <w:t xml:space="preserve">https://doi.org/10.1007/s11916-012-0289-4</w:t>
        </w:r>
      </w:hyperlink>
    </w:p>
    <w:p>
      <w:pPr>
        <w:spacing w:line="240" w:lineRule="auto" w:before="0" w:after="240"/>
      </w:pPr>
      <w:r>
        <w:rPr>
          <w:rFonts w:ascii="Times New Roman" w:hAnsi="Times New Roman"/>
          <w:sz w:val="24"/>
        </w:rPr>
        <w:t xml:space="preserve">4. Hong CZ, Simons DG. Pathophysiologic and electrophysiologic mechanisms of myofascial trigger points. </w:t>
      </w:r>
      <w:r>
        <w:rPr>
          <w:i/>
          <w:rFonts w:ascii="Times New Roman" w:hAnsi="Times New Roman"/>
          <w:sz w:val="24"/>
        </w:rPr>
        <w:t xml:space="preserve">Arch Phys Med Rehabil</w:t>
      </w:r>
      <w:r>
        <w:rPr>
          <w:rFonts w:ascii="Times New Roman" w:hAnsi="Times New Roman"/>
          <w:sz w:val="24"/>
        </w:rPr>
        <w:t xml:space="preserve">. 1998;79(7):863-872. </w:t>
      </w:r>
      <w:hyperlink r:id="rId4" w:history="1">
        <w:r>
          <w:rPr>
            <w:color w:val="0000FF"/>
            <w:u w:val="single"/>
            <w:rFonts w:ascii="Times New Roman" w:hAnsi="Times New Roman"/>
            <w:sz w:val="24"/>
          </w:rPr>
          <w:t xml:space="preserve">https://doi.org/10.1016/s0003-9993(98)90371-9</w:t>
        </w:r>
      </w:hyperlink>
    </w:p>
    <w:p>
      <w:pPr>
        <w:spacing w:line="240" w:lineRule="auto" w:before="0" w:after="240"/>
      </w:pPr>
      <w:r>
        <w:rPr>
          <w:rFonts w:ascii="Times New Roman" w:hAnsi="Times New Roman"/>
          <w:sz w:val="24"/>
        </w:rPr>
        <w:t xml:space="preserve">5. Shah JP, Gilliams EA. Uncovering the biochemical milieu of myofascial trigger points using in vivo microdialysis: an application of muscle pain concepts to myofascial pain syndrome. </w:t>
      </w:r>
      <w:r>
        <w:rPr>
          <w:i/>
          <w:rFonts w:ascii="Times New Roman" w:hAnsi="Times New Roman"/>
          <w:sz w:val="24"/>
        </w:rPr>
        <w:t xml:space="preserve">J Bodyw Mov Ther</w:t>
      </w:r>
      <w:r>
        <w:rPr>
          <w:rFonts w:ascii="Times New Roman" w:hAnsi="Times New Roman"/>
          <w:sz w:val="24"/>
        </w:rPr>
        <w:t xml:space="preserve">. 2008;12(4):371-384. </w:t>
      </w:r>
      <w:hyperlink r:id="rId5" w:history="1">
        <w:r>
          <w:rPr>
            <w:color w:val="0000FF"/>
            <w:u w:val="single"/>
            <w:rFonts w:ascii="Times New Roman" w:hAnsi="Times New Roman"/>
            <w:sz w:val="24"/>
          </w:rPr>
          <w:t xml:space="preserve">https://doi.org/10.1016/j.jbmt.2008.06.006</w:t>
        </w:r>
      </w:hyperlink>
    </w:p>
    <w:p>
      <w:pPr>
        <w:spacing w:line="240" w:lineRule="auto" w:before="0" w:after="240"/>
      </w:pPr>
      <w:r>
        <w:rPr>
          <w:rFonts w:ascii="Times New Roman" w:hAnsi="Times New Roman"/>
          <w:sz w:val="24"/>
        </w:rPr>
        <w:t xml:space="preserve">6. Srbely JZ, Dickey JP, Bent LR, Lee D, Lowerison M. Capsaicin-induced central sensitization evokes segmental increases in trigger point sensitivity in humans. </w:t>
      </w:r>
      <w:r>
        <w:rPr>
          <w:i/>
          <w:rFonts w:ascii="Times New Roman" w:hAnsi="Times New Roman"/>
          <w:sz w:val="24"/>
        </w:rPr>
        <w:t xml:space="preserve">J Pain</w:t>
      </w:r>
      <w:r>
        <w:rPr>
          <w:rFonts w:ascii="Times New Roman" w:hAnsi="Times New Roman"/>
          <w:sz w:val="24"/>
        </w:rPr>
        <w:t xml:space="preserve">. 2010;11(7):636-643. </w:t>
      </w:r>
      <w:hyperlink r:id="rId6" w:history="1">
        <w:r>
          <w:rPr>
            <w:color w:val="0000FF"/>
            <w:u w:val="single"/>
            <w:rFonts w:ascii="Times New Roman" w:hAnsi="Times New Roman"/>
            <w:sz w:val="24"/>
          </w:rPr>
          <w:t xml:space="preserve">https://doi.org/10.1016/j.jpain.2009.10.005</w:t>
        </w:r>
      </w:hyperlink>
    </w:p>
    <w:p>
      <w:pPr>
        <w:spacing w:line="240" w:lineRule="auto" w:before="0" w:after="240"/>
      </w:pPr>
      <w:r>
        <w:rPr>
          <w:rFonts w:ascii="Times New Roman" w:hAnsi="Times New Roman"/>
          <w:sz w:val="24"/>
        </w:rPr>
        <w:t xml:space="preserve">7. Nambi G, Alghadier M, Khanam H, et al. An additive effect of instrument-assisted soft tissue mobilization with spinal manipulation in cervicogenic headache: A randomized controlled trial. </w:t>
      </w:r>
      <w:r>
        <w:rPr>
          <w:i/>
          <w:rFonts w:ascii="Times New Roman" w:hAnsi="Times New Roman"/>
          <w:sz w:val="24"/>
        </w:rPr>
        <w:t xml:space="preserve">Pain Ther</w:t>
      </w:r>
      <w:r>
        <w:rPr>
          <w:rFonts w:ascii="Times New Roman" w:hAnsi="Times New Roman"/>
          <w:sz w:val="24"/>
        </w:rPr>
        <w:t xml:space="preserve">. 2024;13(6):1679-1693. </w:t>
      </w:r>
      <w:hyperlink r:id="rId7" w:history="1">
        <w:r>
          <w:rPr>
            <w:color w:val="0000FF"/>
            <w:u w:val="single"/>
            <w:rFonts w:ascii="Times New Roman" w:hAnsi="Times New Roman"/>
            <w:sz w:val="24"/>
          </w:rPr>
          <w:t xml:space="preserve">https://doi.org/10.1007/s40122-024-00671-w</w:t>
        </w:r>
      </w:hyperlink>
    </w:p>
    <w:p>
      <w:pPr>
        <w:spacing w:line="240" w:lineRule="auto" w:before="0" w:after="240"/>
      </w:pPr>
      <w:r>
        <w:rPr>
          <w:rFonts w:ascii="Times New Roman" w:hAnsi="Times New Roman"/>
          <w:sz w:val="24"/>
        </w:rPr>
        <w:t xml:space="preserve">8. Hoy D, March L, Brooks P, et al. The global burden of low back pain: estimates from the Global Burden of Disease 2010 study. </w:t>
      </w:r>
      <w:r>
        <w:rPr>
          <w:i/>
          <w:rFonts w:ascii="Times New Roman" w:hAnsi="Times New Roman"/>
          <w:sz w:val="24"/>
        </w:rPr>
        <w:t xml:space="preserve">Ann Rheum Dis</w:t>
      </w:r>
      <w:r>
        <w:rPr>
          <w:rFonts w:ascii="Times New Roman" w:hAnsi="Times New Roman"/>
          <w:sz w:val="24"/>
        </w:rPr>
        <w:t xml:space="preserve">. 2014;73(6):968-974. </w:t>
      </w:r>
      <w:hyperlink r:id="rId8" w:history="1">
        <w:r>
          <w:rPr>
            <w:color w:val="0000FF"/>
            <w:u w:val="single"/>
            <w:rFonts w:ascii="Times New Roman" w:hAnsi="Times New Roman"/>
            <w:sz w:val="24"/>
          </w:rPr>
          <w:t xml:space="preserve">https://doi.org/10.1136/annrheumdis-2013-204428</w:t>
        </w:r>
      </w:hyperlink>
    </w:p>
    <w:p>
      <w:pPr>
        <w:spacing w:line="240" w:lineRule="auto" w:before="0" w:after="240"/>
      </w:pPr>
      <w:r>
        <w:rPr>
          <w:rFonts w:ascii="Times New Roman" w:hAnsi="Times New Roman"/>
          <w:sz w:val="24"/>
        </w:rPr>
        <w:t xml:space="preserve">9. Skootsky SA, Jaeger B, Oye RK. Prevalence of myofascial pain in general internal medicine practice. </w:t>
      </w:r>
      <w:r>
        <w:rPr>
          <w:i/>
          <w:rFonts w:ascii="Times New Roman" w:hAnsi="Times New Roman"/>
          <w:sz w:val="24"/>
        </w:rPr>
        <w:t xml:space="preserve">West J Med</w:t>
      </w:r>
      <w:r>
        <w:rPr>
          <w:rFonts w:ascii="Times New Roman" w:hAnsi="Times New Roman"/>
          <w:sz w:val="24"/>
        </w:rPr>
        <w:t xml:space="preserve">. 1989;151(2):157-160.</w:t>
      </w:r>
    </w:p>
    <w:p>
      <w:pPr>
        <w:spacing w:line="240" w:lineRule="auto" w:before="0" w:after="240"/>
      </w:pPr>
      <w:r>
        <w:rPr>
          <w:rFonts w:ascii="Times New Roman" w:hAnsi="Times New Roman"/>
          <w:sz w:val="24"/>
        </w:rPr>
        <w:t xml:space="preserve">10. Chaudhary ES, Shah N, Vyas N, Khuman R, Chavda D, et al. Comparative study of myofascial release and cold pack in upper trapezius spasm. </w:t>
      </w:r>
      <w:r>
        <w:rPr>
          <w:i/>
          <w:rFonts w:ascii="Times New Roman" w:hAnsi="Times New Roman"/>
          <w:sz w:val="24"/>
        </w:rPr>
        <w:t xml:space="preserve">Int J Health Sci Res</w:t>
      </w:r>
      <w:r>
        <w:rPr>
          <w:rFonts w:ascii="Times New Roman" w:hAnsi="Times New Roman"/>
          <w:sz w:val="24"/>
        </w:rPr>
        <w:t xml:space="preserve">. 2013;3(12):20-27.</w:t>
      </w:r>
    </w:p>
    <w:p>
      <w:pPr>
        <w:spacing w:line="240" w:lineRule="auto" w:before="0" w:after="240"/>
      </w:pPr>
      <w:r>
        <w:rPr>
          <w:rFonts w:ascii="Times New Roman" w:hAnsi="Times New Roman"/>
          <w:sz w:val="24"/>
        </w:rPr>
        <w:t xml:space="preserve">11. Manheim CJ. </w:t>
      </w:r>
      <w:r>
        <w:rPr>
          <w:i/>
          <w:rFonts w:ascii="Times New Roman" w:hAnsi="Times New Roman"/>
          <w:sz w:val="24"/>
        </w:rPr>
        <w:t xml:space="preserve">The Myofascial Release Manual</w:t>
      </w:r>
      <w:r>
        <w:rPr>
          <w:rFonts w:ascii="Times New Roman" w:hAnsi="Times New Roman"/>
          <w:sz w:val="24"/>
        </w:rPr>
        <w:t xml:space="preserve">. 4th ed. Slack Incorporated; 2008.</w:t>
      </w:r>
    </w:p>
    <w:p>
      <w:pPr>
        <w:spacing w:line="240" w:lineRule="auto" w:before="0" w:after="240"/>
      </w:pPr>
      <w:r>
        <w:rPr>
          <w:rFonts w:ascii="Times New Roman" w:hAnsi="Times New Roman"/>
          <w:sz w:val="24"/>
        </w:rPr>
        <w:t xml:space="preserve">12. Altindag O. Efficacy of myofascial release method on pain and disease severity in patients with fibromyalgia. </w:t>
      </w:r>
      <w:r>
        <w:rPr>
          <w:i/>
          <w:rFonts w:ascii="Times New Roman" w:hAnsi="Times New Roman"/>
          <w:sz w:val="24"/>
        </w:rPr>
        <w:t xml:space="preserve">J Pain Relief</w:t>
      </w:r>
      <w:r>
        <w:rPr>
          <w:rFonts w:ascii="Times New Roman" w:hAnsi="Times New Roman"/>
          <w:sz w:val="24"/>
        </w:rPr>
        <w:t xml:space="preserve">. 2014;03(05). </w:t>
      </w:r>
      <w:hyperlink r:id="rId9" w:history="1">
        <w:r>
          <w:rPr>
            <w:color w:val="0000FF"/>
            <w:u w:val="single"/>
            <w:rFonts w:ascii="Times New Roman" w:hAnsi="Times New Roman"/>
            <w:sz w:val="24"/>
          </w:rPr>
          <w:t xml:space="preserve">https://doi.org/10.4172/2167-0846.1000161</w:t>
        </w:r>
      </w:hyperlink>
    </w:p>
    <w:p>
      <w:pPr>
        <w:spacing w:line="240" w:lineRule="auto" w:before="0" w:after="240"/>
      </w:pPr>
      <w:r>
        <w:rPr>
          <w:rFonts w:ascii="Times New Roman" w:hAnsi="Times New Roman"/>
          <w:sz w:val="24"/>
        </w:rPr>
        <w:t xml:space="preserve">13. Stanborough M. Direct Release Myofascial Technique: An Illustrated Guide for Practitioners. Churchill Livingstone; 2004.</w:t>
      </w:r>
    </w:p>
    <w:p>
      <w:pPr>
        <w:spacing w:line="240" w:lineRule="auto" w:before="0" w:after="240"/>
      </w:pPr>
      <w:r>
        <w:rPr>
          <w:rFonts w:ascii="Times New Roman" w:hAnsi="Times New Roman"/>
          <w:sz w:val="24"/>
        </w:rPr>
        <w:t xml:space="preserve">14. Feland JB, Myrer JW, Schulthies SS, Fellingham GW, Measom GW. The effect of duration of stretching of the hamstring muscle group for increasing range of motion in people aged 65 years or older. </w:t>
      </w:r>
      <w:r>
        <w:rPr>
          <w:i/>
          <w:rFonts w:ascii="Times New Roman" w:hAnsi="Times New Roman"/>
          <w:sz w:val="24"/>
        </w:rPr>
        <w:t xml:space="preserve">Phys Ther</w:t>
      </w:r>
      <w:r>
        <w:rPr>
          <w:rFonts w:ascii="Times New Roman" w:hAnsi="Times New Roman"/>
          <w:sz w:val="24"/>
        </w:rPr>
        <w:t xml:space="preserve">. 2001;81(5):1110-1117. </w:t>
      </w:r>
      <w:hyperlink r:id="rId10" w:history="1">
        <w:r>
          <w:rPr>
            <w:color w:val="0000FF"/>
            <w:u w:val="single"/>
            <w:rFonts w:ascii="Times New Roman" w:hAnsi="Times New Roman"/>
            <w:sz w:val="24"/>
          </w:rPr>
          <w:t xml:space="preserve">https://doi.org/10.1093/ptj/81.5.1110</w:t>
        </w:r>
      </w:hyperlink>
    </w:p>
    <w:p>
      <w:pPr>
        <w:spacing w:line="240" w:lineRule="auto" w:before="0" w:after="240"/>
      </w:pPr>
      <w:r>
        <w:rPr>
          <w:rFonts w:ascii="Times New Roman" w:hAnsi="Times New Roman"/>
          <w:sz w:val="24"/>
        </w:rPr>
        <w:t xml:space="preserve">15. Hanten WP, Olson SL, Butts NL, Nowicki AL. Effectiveness of a home program of ischemic pressure followed by sustained stretch for treatment of myofascial trigger points. </w:t>
      </w:r>
      <w:r>
        <w:rPr>
          <w:i/>
          <w:rFonts w:ascii="Times New Roman" w:hAnsi="Times New Roman"/>
          <w:sz w:val="24"/>
        </w:rPr>
        <w:t xml:space="preserve">Phys Ther</w:t>
      </w:r>
      <w:r>
        <w:rPr>
          <w:rFonts w:ascii="Times New Roman" w:hAnsi="Times New Roman"/>
          <w:sz w:val="24"/>
        </w:rPr>
        <w:t xml:space="preserve">. 2000;80(10):997-1003. </w:t>
      </w:r>
      <w:hyperlink r:id="rId11" w:history="1">
        <w:r>
          <w:rPr>
            <w:color w:val="0000FF"/>
            <w:u w:val="single"/>
            <w:rFonts w:ascii="Times New Roman" w:hAnsi="Times New Roman"/>
            <w:sz w:val="24"/>
          </w:rPr>
          <w:t xml:space="preserve">https://doi.org/10.1093/ptj/80.10.997</w:t>
        </w:r>
      </w:hyperlink>
    </w:p>
    <w:p>
      <w:pPr>
        <w:spacing w:line="240" w:lineRule="auto" w:before="0" w:after="240"/>
      </w:pPr>
      <w:r>
        <w:rPr>
          <w:rFonts w:ascii="Times New Roman" w:hAnsi="Times New Roman"/>
          <w:sz w:val="24"/>
        </w:rPr>
        <w:t xml:space="preserve">16. Julious SA. Sample size of 12 per group rule of thumb for a pilot study. </w:t>
      </w:r>
      <w:r>
        <w:rPr>
          <w:i/>
          <w:rFonts w:ascii="Times New Roman" w:hAnsi="Times New Roman"/>
          <w:sz w:val="24"/>
        </w:rPr>
        <w:t xml:space="preserve">Pharm Stat</w:t>
      </w:r>
      <w:r>
        <w:rPr>
          <w:rFonts w:ascii="Times New Roman" w:hAnsi="Times New Roman"/>
          <w:sz w:val="24"/>
        </w:rPr>
        <w:t xml:space="preserve">. 2005;4(4):287-291. </w:t>
      </w:r>
      <w:hyperlink r:id="rId12" w:history="1">
        <w:r>
          <w:rPr>
            <w:color w:val="0000FF"/>
            <w:u w:val="single"/>
            <w:rFonts w:ascii="Times New Roman" w:hAnsi="Times New Roman"/>
            <w:sz w:val="24"/>
          </w:rPr>
          <w:t xml:space="preserve">https://doi.org/10.1002/pst.185</w:t>
        </w:r>
      </w:hyperlink>
    </w:p>
    <w:p>
      <w:pPr>
        <w:spacing w:line="240" w:lineRule="auto" w:before="0" w:after="240"/>
      </w:pPr>
      <w:r>
        <w:rPr>
          <w:rFonts w:ascii="Times New Roman" w:hAnsi="Times New Roman"/>
          <w:sz w:val="24"/>
        </w:rPr>
        <w:t xml:space="preserve">17. Mikalauskas R, Laurinavicius A. Isometric relaxation combined with active stretching for shoulder pain: A pilot study. </w:t>
      </w:r>
      <w:r>
        <w:rPr>
          <w:i/>
          <w:rFonts w:ascii="Times New Roman" w:hAnsi="Times New Roman"/>
          <w:sz w:val="24"/>
        </w:rPr>
        <w:t xml:space="preserve">J Orthop Sports Phys Ther</w:t>
      </w:r>
      <w:r>
        <w:rPr>
          <w:rFonts w:ascii="Times New Roman" w:hAnsi="Times New Roman"/>
          <w:sz w:val="24"/>
        </w:rPr>
        <w:t xml:space="preserve">. 2017;47(12):944-951.</w:t>
      </w:r>
    </w:p>
    <w:p>
      <w:pPr>
        <w:spacing w:line="240" w:lineRule="auto" w:before="0" w:after="240"/>
      </w:pPr>
      <w:r>
        <w:rPr>
          <w:rFonts w:ascii="Times New Roman" w:hAnsi="Times New Roman"/>
          <w:sz w:val="24"/>
        </w:rPr>
        <w:t xml:space="preserve">18. Da Silva Ranzatto AD, Chaves TC, Martins MN, et al. Pain intensity scales: A cross-sectional study on the preferences and knowledge of physiotherapists and participants with musculoskeletal pain. </w:t>
      </w:r>
      <w:r>
        <w:rPr>
          <w:i/>
          <w:rFonts w:ascii="Times New Roman" w:hAnsi="Times New Roman"/>
          <w:sz w:val="24"/>
        </w:rPr>
        <w:t xml:space="preserve">Musculoskelet Sci Pract</w:t>
      </w:r>
      <w:r>
        <w:rPr>
          <w:rFonts w:ascii="Times New Roman" w:hAnsi="Times New Roman"/>
          <w:sz w:val="24"/>
        </w:rPr>
        <w:t xml:space="preserve">. 2024;73.</w:t>
      </w:r>
    </w:p>
    <w:p>
      <w:pPr>
        <w:spacing w:line="240" w:lineRule="auto" w:before="0" w:after="240"/>
      </w:pPr>
      <w:r>
        <w:rPr>
          <w:rFonts w:ascii="Times New Roman" w:hAnsi="Times New Roman"/>
          <w:sz w:val="24"/>
        </w:rPr>
        <w:t xml:space="preserve">19. Kolber MJ, Fuller C, Marshall J, Wright A, Hanney WJ. The reliability and concurrent validity of scapular plane shoulder elevation measurements using a digital inclinometer and goniometer. </w:t>
      </w:r>
      <w:r>
        <w:rPr>
          <w:i/>
          <w:rFonts w:ascii="Times New Roman" w:hAnsi="Times New Roman"/>
          <w:sz w:val="24"/>
        </w:rPr>
        <w:t xml:space="preserve">Physiother Theory Pract</w:t>
      </w:r>
      <w:r>
        <w:rPr>
          <w:rFonts w:ascii="Times New Roman" w:hAnsi="Times New Roman"/>
          <w:sz w:val="24"/>
        </w:rPr>
        <w:t xml:space="preserve">. 2012;28(2):161-168. </w:t>
      </w:r>
      <w:hyperlink r:id="rId13" w:history="1">
        <w:r>
          <w:rPr>
            <w:color w:val="0000FF"/>
            <w:u w:val="single"/>
            <w:rFonts w:ascii="Times New Roman" w:hAnsi="Times New Roman"/>
            <w:sz w:val="24"/>
          </w:rPr>
          <w:t xml:space="preserve">https://doi.org/10.3109/09593985.2011.574203</w:t>
        </w:r>
      </w:hyperlink>
    </w:p>
    <w:p>
      <w:pPr>
        <w:spacing w:line="240" w:lineRule="auto" w:before="0" w:after="240"/>
      </w:pPr>
      <w:r>
        <w:rPr>
          <w:rFonts w:ascii="Times New Roman" w:hAnsi="Times New Roman"/>
          <w:sz w:val="24"/>
        </w:rPr>
        <w:t xml:space="preserve">20. Moylan MR, Green TR, Lawton CA. Efficacy of myofascial release in the treatment of myofascial trigger points. </w:t>
      </w:r>
      <w:r>
        <w:rPr>
          <w:i/>
          <w:rFonts w:ascii="Times New Roman" w:hAnsi="Times New Roman"/>
          <w:sz w:val="24"/>
        </w:rPr>
        <w:t xml:space="preserve">J Pain Res</w:t>
      </w:r>
      <w:r>
        <w:rPr>
          <w:rFonts w:ascii="Times New Roman" w:hAnsi="Times New Roman"/>
          <w:sz w:val="24"/>
        </w:rPr>
        <w:t xml:space="preserve">. 2013;6:101-108.</w:t>
      </w:r>
    </w:p>
    <w:p>
      <w:pPr>
        <w:spacing w:line="240" w:lineRule="auto" w:before="0" w:after="240"/>
      </w:pPr>
      <w:r>
        <w:rPr>
          <w:rFonts w:ascii="Times New Roman" w:hAnsi="Times New Roman"/>
          <w:sz w:val="24"/>
        </w:rPr>
        <w:t xml:space="preserve">21. Lee JH, Kim JH, Lee SW. Myofascial release and active stretching in treating chronic neck pain: A randomized controlled trial. </w:t>
      </w:r>
      <w:r>
        <w:rPr>
          <w:i/>
          <w:rFonts w:ascii="Times New Roman" w:hAnsi="Times New Roman"/>
          <w:sz w:val="24"/>
        </w:rPr>
        <w:t xml:space="preserve">J Musculoskelet Pain</w:t>
      </w:r>
      <w:r>
        <w:rPr>
          <w:rFonts w:ascii="Times New Roman" w:hAnsi="Times New Roman"/>
          <w:sz w:val="24"/>
        </w:rPr>
        <w:t xml:space="preserve">. 2018;26(1):67-74.</w:t>
      </w:r>
    </w:p>
    <w:p>
      <w:pPr>
        <w:spacing w:line="240" w:lineRule="auto" w:before="0" w:after="240"/>
      </w:pPr>
      <w:r>
        <w:rPr>
          <w:rFonts w:ascii="Times New Roman" w:hAnsi="Times New Roman"/>
          <w:sz w:val="24"/>
        </w:rPr>
        <w:t xml:space="preserve">22. Simons DG, Travell JG. Trigger point release: A systematic review and meta-analysis. </w:t>
      </w:r>
      <w:r>
        <w:rPr>
          <w:i/>
          <w:rFonts w:ascii="Times New Roman" w:hAnsi="Times New Roman"/>
          <w:sz w:val="24"/>
        </w:rPr>
        <w:t xml:space="preserve">Clin J Pain</w:t>
      </w:r>
      <w:r>
        <w:rPr>
          <w:rFonts w:ascii="Times New Roman" w:hAnsi="Times New Roman"/>
          <w:sz w:val="24"/>
        </w:rPr>
        <w:t xml:space="preserve">. 2019;35(7):548-554.</w:t>
      </w:r>
    </w:p>
    <w:p>
      <w:pPr>
        <w:spacing w:line="240" w:lineRule="auto" w:before="0" w:after="240"/>
      </w:pPr>
      <w:r>
        <w:rPr>
          <w:rFonts w:ascii="Times New Roman" w:hAnsi="Times New Roman"/>
          <w:sz w:val="24"/>
        </w:rPr>
        <w:t xml:space="preserve">23. Mcarthur MP. Myofascial release and its effectiveness in the management of myofascial pain syndrome. </w:t>
      </w:r>
      <w:r>
        <w:rPr>
          <w:i/>
          <w:rFonts w:ascii="Times New Roman" w:hAnsi="Times New Roman"/>
          <w:sz w:val="24"/>
        </w:rPr>
        <w:t xml:space="preserve">J Bodyw Mov Ther</w:t>
      </w:r>
      <w:r>
        <w:rPr>
          <w:rFonts w:ascii="Times New Roman" w:hAnsi="Times New Roman"/>
          <w:sz w:val="24"/>
        </w:rPr>
        <w:t xml:space="preserve">. 2015;19(3):512-519.</w:t>
      </w:r>
    </w:p>
    <w:p>
      <w:pPr>
        <w:spacing w:line="240" w:lineRule="auto" w:before="0" w:after="240"/>
      </w:pPr>
      <w:r>
        <w:rPr>
          <w:rFonts w:ascii="Times New Roman" w:hAnsi="Times New Roman"/>
          <w:sz w:val="24"/>
        </w:rPr>
        <w:t xml:space="preserve">24. Khan ZK, Ahmed SI, Baig AA, Farooqui WA. Effect of post-isometric relaxation versus myofascial release therapy on pain, functional disability, ROM and QoL in the management of non-specific neck pain: a randomized controlled trial. </w:t>
      </w:r>
      <w:r>
        <w:rPr>
          <w:i/>
          <w:rFonts w:ascii="Times New Roman" w:hAnsi="Times New Roman"/>
          <w:sz w:val="24"/>
        </w:rPr>
        <w:t xml:space="preserve">BMC Musculoskelet Disord</w:t>
      </w:r>
      <w:r>
        <w:rPr>
          <w:rFonts w:ascii="Times New Roman" w:hAnsi="Times New Roman"/>
          <w:sz w:val="24"/>
        </w:rPr>
        <w:t xml:space="preserve">. 2022;23(1):567.</w:t>
      </w:r>
    </w:p>
    <w:p>
      <w:pPr>
        <w:spacing w:line="240" w:lineRule="auto" w:before="0" w:after="240"/>
      </w:pPr>
      <w:r>
        <w:rPr>
          <w:rFonts w:ascii="Times New Roman" w:hAnsi="Times New Roman"/>
          <w:sz w:val="24"/>
        </w:rPr>
        <w:t xml:space="preserve">25. Albaker AB. Ischemic pressure vs. post-isometric relaxation for treatment of rhomboid latent myofascial trigger point: a systemic review. </w:t>
      </w:r>
      <w:r>
        <w:rPr>
          <w:i/>
          <w:rFonts w:ascii="Times New Roman" w:hAnsi="Times New Roman"/>
          <w:sz w:val="24"/>
        </w:rPr>
        <w:t xml:space="preserve">Eur Rev Med Pharmacol Sci</w:t>
      </w:r>
      <w:r>
        <w:rPr>
          <w:rFonts w:ascii="Times New Roman" w:hAnsi="Times New Roman"/>
          <w:sz w:val="24"/>
        </w:rPr>
        <w:t xml:space="preserve">. 2023;27(11):5031-5038. </w:t>
      </w:r>
      <w:hyperlink r:id="rId14" w:history="1">
        <w:r>
          <w:rPr>
            <w:color w:val="0000FF"/>
            <w:u w:val="single"/>
            <w:rFonts w:ascii="Times New Roman" w:hAnsi="Times New Roman"/>
            <w:sz w:val="24"/>
          </w:rPr>
          <w:t xml:space="preserve">https://doi.org/10.26355/eurrev_202306_32620</w:t>
        </w:r>
      </w:hyperlink>
    </w:p>
    <w:p>
      <w:pPr>
        <w:spacing w:line="240" w:lineRule="auto" w:before="0" w:after="240"/>
      </w:pPr>
      <w:r>
        <w:rPr>
          <w:rFonts w:ascii="Times New Roman" w:hAnsi="Times New Roman"/>
          <w:sz w:val="24"/>
        </w:rPr>
        <w:t xml:space="preserve">26. Sivalingam AM, Sureshkumar DD, Pandurangan V. Cerebellar pathology in forensic and clinical neuroscience. </w:t>
      </w:r>
      <w:r>
        <w:rPr>
          <w:i/>
          <w:rFonts w:ascii="Times New Roman" w:hAnsi="Times New Roman"/>
          <w:sz w:val="24"/>
        </w:rPr>
        <w:t xml:space="preserve">Ageing Res Rev</w:t>
      </w:r>
      <w:r>
        <w:rPr>
          <w:rFonts w:ascii="Times New Roman" w:hAnsi="Times New Roman"/>
          <w:sz w:val="24"/>
        </w:rPr>
        <w:t xml:space="preserve">. 2025;106(102697):102697. </w:t>
      </w:r>
      <w:hyperlink r:id="rId15" w:history="1">
        <w:r>
          <w:rPr>
            <w:color w:val="0000FF"/>
            <w:u w:val="single"/>
            <w:rFonts w:ascii="Times New Roman" w:hAnsi="Times New Roman"/>
            <w:sz w:val="24"/>
          </w:rPr>
          <w:t xml:space="preserve">https://doi.org/10.1016/j.arr.2025.102697</w:t>
        </w:r>
      </w:hyperlink>
    </w:p>
    <w:p>
      <w:pPr>
        <w:spacing w:line="240" w:lineRule="auto" w:before="0" w:after="240"/>
      </w:pPr>
      <w:r>
        <w:rPr>
          <w:rFonts w:ascii="Times New Roman" w:hAnsi="Times New Roman"/>
          <w:sz w:val="24"/>
        </w:rPr>
        <w:t xml:space="preserve">27. Balaji T, Ramalingam V, Santhana Lakshmi S. Comparing the effects of post-isometric relaxation and hold-relax technique for cervicogenic headache among computer users. </w:t>
      </w:r>
      <w:r>
        <w:rPr>
          <w:i/>
          <w:rFonts w:ascii="Times New Roman" w:hAnsi="Times New Roman"/>
          <w:sz w:val="24"/>
        </w:rPr>
        <w:t xml:space="preserve">Neurol Asia</w:t>
      </w:r>
      <w:r>
        <w:rPr>
          <w:rFonts w:ascii="Times New Roman" w:hAnsi="Times New Roman"/>
          <w:sz w:val="24"/>
        </w:rPr>
        <w:t xml:space="preserve">. 2025;30(1):157-163. </w:t>
      </w:r>
      <w:hyperlink r:id="rId16" w:history="1">
        <w:r>
          <w:rPr>
            <w:color w:val="0000FF"/>
            <w:u w:val="single"/>
            <w:rFonts w:ascii="Times New Roman" w:hAnsi="Times New Roman"/>
            <w:sz w:val="24"/>
          </w:rPr>
          <w:t xml:space="preserve">https://doi.org/10.54029/2025tmx</w:t>
        </w:r>
      </w:hyperlink>
    </w:p>
    <w:p>
      <w:pPr>
        <w:spacing w:line="240" w:lineRule="auto" w:before="0" w:after="240"/>
      </w:pPr>
      <w:r>
        <w:rPr>
          <w:rFonts w:ascii="Times New Roman" w:hAnsi="Times New Roman"/>
          <w:sz w:val="24"/>
        </w:rPr>
        <w:t xml:space="preserve">28. Senthilkumar S, Kumar A, Sangeetha S. A Study on Effectiveness of Post Isometric relaxation Technique in Trapezitis among workers. </w:t>
      </w:r>
      <w:r>
        <w:rPr>
          <w:i/>
          <w:rFonts w:ascii="Times New Roman" w:hAnsi="Times New Roman"/>
          <w:sz w:val="24"/>
        </w:rPr>
        <w:t xml:space="preserve">Res J Pharm Technol</w:t>
      </w:r>
      <w:r>
        <w:rPr>
          <w:rFonts w:ascii="Times New Roman" w:hAnsi="Times New Roman"/>
          <w:sz w:val="24"/>
        </w:rPr>
        <w:t xml:space="preserve">. 2019;12(10):4836. </w:t>
      </w:r>
      <w:hyperlink r:id="rId17" w:history="1">
        <w:r>
          <w:rPr>
            <w:color w:val="0000FF"/>
            <w:u w:val="single"/>
            <w:rFonts w:ascii="Times New Roman" w:hAnsi="Times New Roman"/>
            <w:sz w:val="24"/>
          </w:rPr>
          <w:t xml:space="preserve">https://doi.org/10.5958/0974-360x.2019.00837.0</w:t>
        </w:r>
      </w:hyperlink>
    </w:p>
    <w:p>
      <w:pPr>
        <w:spacing w:line="240" w:lineRule="auto" w:before="0" w:after="240"/>
      </w:pPr>
      <w:r>
        <w:rPr>
          <w:rFonts w:ascii="Times New Roman" w:hAnsi="Times New Roman"/>
          <w:sz w:val="24"/>
        </w:rPr>
        <w:t xml:space="preserve">29. Kamalakannan M, Josyula S, Augustina JS, Naveen M, Hariharan J, Vignesh J, et al. Comparative analysis of high-intensity interval training and traditional rehabilitation programs for accelerated recovery from musculoskeletal injuries. </w:t>
      </w:r>
      <w:r>
        <w:rPr>
          <w:i/>
          <w:rFonts w:ascii="Times New Roman" w:hAnsi="Times New Roman"/>
          <w:sz w:val="24"/>
        </w:rPr>
        <w:t xml:space="preserve">J Back Musculoskelet Rehabil</w:t>
      </w:r>
      <w:r>
        <w:rPr>
          <w:rFonts w:ascii="Times New Roman" w:hAnsi="Times New Roman"/>
          <w:sz w:val="24"/>
        </w:rPr>
        <w:t xml:space="preserve">. 2024;37(2):437-443. </w:t>
      </w:r>
      <w:hyperlink r:id="rId18" w:history="1">
        <w:r>
          <w:rPr>
            <w:color w:val="0000FF"/>
            <w:u w:val="single"/>
            <w:rFonts w:ascii="Times New Roman" w:hAnsi="Times New Roman"/>
            <w:sz w:val="24"/>
          </w:rPr>
          <w:t xml:space="preserve">https://doi.org/10.3233/BMR-230146</w:t>
        </w:r>
      </w:hyperlink>
    </w:p>
    <w:sectPr>
      <w:pgSz w:w="12240" w:h="15840"/>
      <w:pgMar w:top="1440" w:right="1440" w:bottom="1440" w:left="1440" w:header="720" w:footer="720" w:gutter="0"/>
    </w:sectPr>
  </w:body>
</w:document>
</file>

<file path=word/styles.xml><?xml version="1.0" encoding="utf-8"?>
<w:styles xmlns:w="http://schemas.openxmlformats.org/wordprocessingml/2006/main">
  <w:style w:type="paragraph" w:default="1" w:styleId="Normal">
    <w:name w:val="Normal"/>
    <w:qFormat/>
    <w:pPr>
      <w:spacing w:line="240" w:lineRule="auto" w:before="0" w:after="240"/>
    </w:pPr>
    <w:rPr>
      <w:rFonts w:ascii="Times New Roman" w:hAnsi="Times New Roman"/>
      <w:sz w:val="24"/>
    </w:rPr>
  </w:style>
  <w:style w:type="paragraph" w:styleId="Heading1">
    <w:name w:val="heading 1"/>
    <w:basedOn w:val="Normal"/>
    <w:next w:val="Normal"/>
    <w:qFormat/>
    <w:pPr>
      <w:spacing w:before="240" w:after="240" w:line="240" w:lineRule="auto"/>
    </w:pPr>
    <w:rPr>
      <w:b/>
      <w:rFonts w:ascii="Times New Roman" w:hAnsi="Times New Roman"/>
      <w:sz w:val="24"/>
    </w:rPr>
  </w:style>
</w:styles>
</file>

<file path=word/_rels/document.xml.rels><?xml version="1.0" encoding="UTF-8" standalone="yes"?><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doi.org/10.1016/j.jbmt.2014.05.004" TargetMode="External"/><Relationship Id="rId3" Type="http://schemas.openxmlformats.org/officeDocument/2006/relationships/hyperlink" Target="https://doi.org/10.1007/s11916-012-0289-4" TargetMode="External"/><Relationship Id="rId4" Type="http://schemas.openxmlformats.org/officeDocument/2006/relationships/hyperlink" Target="https://doi.org/10.1016/s0003-9993(98)90371-9" TargetMode="External"/><Relationship Id="rId5" Type="http://schemas.openxmlformats.org/officeDocument/2006/relationships/hyperlink" Target="https://doi.org/10.1016/j.jbmt.2008.06.006" TargetMode="External"/><Relationship Id="rId6" Type="http://schemas.openxmlformats.org/officeDocument/2006/relationships/hyperlink" Target="https://doi.org/10.1016/j.jpain.2009.10.005" TargetMode="External"/><Relationship Id="rId7" Type="http://schemas.openxmlformats.org/officeDocument/2006/relationships/hyperlink" Target="https://doi.org/10.1007/s40122-024-00671-w" TargetMode="External"/><Relationship Id="rId8" Type="http://schemas.openxmlformats.org/officeDocument/2006/relationships/hyperlink" Target="https://doi.org/10.1136/annrheumdis-2013-204428" TargetMode="External"/><Relationship Id="rId9" Type="http://schemas.openxmlformats.org/officeDocument/2006/relationships/hyperlink" Target="https://doi.org/10.4172/2167-0846.1000161" TargetMode="External"/><Relationship Id="rId10" Type="http://schemas.openxmlformats.org/officeDocument/2006/relationships/hyperlink" Target="https://doi.org/10.1093/ptj/81.5.1110" TargetMode="External"/><Relationship Id="rId11" Type="http://schemas.openxmlformats.org/officeDocument/2006/relationships/hyperlink" Target="https://doi.org/10.1093/ptj/80.10.997" TargetMode="External"/><Relationship Id="rId12" Type="http://schemas.openxmlformats.org/officeDocument/2006/relationships/hyperlink" Target="https://doi.org/10.1002/pst.185" TargetMode="External"/><Relationship Id="rId13" Type="http://schemas.openxmlformats.org/officeDocument/2006/relationships/hyperlink" Target="https://doi.org/10.3109/09593985.2011.574203" TargetMode="External"/><Relationship Id="rId14" Type="http://schemas.openxmlformats.org/officeDocument/2006/relationships/hyperlink" Target="https://doi.org/10.26355/eurrev_202306_32620" TargetMode="External"/><Relationship Id="rId15" Type="http://schemas.openxmlformats.org/officeDocument/2006/relationships/hyperlink" Target="https://doi.org/10.1016/j.arr.2025.102697" TargetMode="External"/><Relationship Id="rId16" Type="http://schemas.openxmlformats.org/officeDocument/2006/relationships/hyperlink" Target="https://doi.org/10.54029/2025tmx" TargetMode="External"/><Relationship Id="rId17" Type="http://schemas.openxmlformats.org/officeDocument/2006/relationships/hyperlink" Target="https://doi.org/10.5958/0974-360x.2019.00837.0" TargetMode="External"/><Relationship Id="rId18" Type="http://schemas.openxmlformats.org/officeDocument/2006/relationships/hyperlink" Target="https://doi.org/10.3233/BMR-230146" TargetMode="External"/></Relationships>
</file>

<file path=docProps/app.xml><?xml version="1.0" encoding="utf-8"?>
<Properties xmlns="http://schemas.openxmlformats.org/officeDocument/2006/extended-properties" xmlns:vt="http://schemas.openxmlformats.org/officeDocument/2006/docPropsVTypes">
  <Application>PDMR SCAPE</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Pre-edited Manuscript</dc:title>
  <dc:creator>PDMR SCAPE</dc:creator>
  <cp:lastModifiedBy>PDMR SCAPE</cp:lastModifiedBy>
  <dcterms:created xsi:type="dcterms:W3CDTF">2026-06-03T05:41:37Z</dcterms:created>
  <dcterms:modified xsi:type="dcterms:W3CDTF">2026-06-03T05:41:37Z</dcterms:modified>
</cp:coreProperties>
</file>