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line="240" w:lineRule="auto" w:before="0" w:after="480"/>
      </w:pPr>
      <w:r>
        <w:rPr>
          <w:b/>
          <w:rFonts w:ascii="Times New Roman" w:hAnsi="Times New Roman"/>
          <w:sz w:val="24"/>
        </w:rPr>
        <w:t xml:space="preserve">Combining Insulin Resistance and Renal Function to Predict Cardiovascular Events: A Multicenter Cohort Study</w:t>
      </w:r>
    </w:p>
    <w:p>
      <w:pPr>
        <w:pStyle w:val="Heading1"/>
        <w:spacing w:line="240" w:lineRule="auto" w:before="0" w:after="240"/>
      </w:pPr>
      <w:r>
        <w:rPr>
          <w:b/>
          <w:rFonts w:ascii="Times New Roman" w:hAnsi="Times New Roman"/>
          <w:sz w:val="24"/>
        </w:rPr>
        <w:t xml:space="preserve">REFERENCES: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 Global, regional, and national age-sex-specific mortality for 282 causes of death in 195 countries and territories, 1980-2017: a systematic analysis for the Global Burden of Disease Study 2017. Lancet 392, 1736–1788 (2018). </w:t>
      </w:r>
      <w:hyperlink r:id="rId2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https://doi.org/10.1016/s0140-6736(18)32203-7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 Roth, G. A. et al. Global Burden of Cardiovascular Diseases and Risk Factors, 1990-2019: Update From the GBD 2019 Study. J Am Coll Cardiol 76, 2982–3021 (2020). </w:t>
      </w:r>
      <w:hyperlink r:id="rId3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https://doi.org/10.1016/j.jacc.2020.11.010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 Zhang, G. et al. Smooth muscle cell fate decisions decipher a high-resolution heterogeneity within atherosclerosis molecular subtypes. J Transl Med 20, 568 (2022). https://doi.org/10.1186/s12967-022-03795-9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 Zhang, T. et al. Circadian Immunity and Vascular Inflammation in Cardiovascular Disease Chronotherapy Windows: Time for a Re-Assessment. Med Research n/a https://doi.org/https://doi.org/10.1002/mdr2.70052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 Bornfeldt, K. E. &amp; Tabas, I. Insulin resistance, hyperglycemia, and atherosclerosis. Cell Metab 14, 575–585 (2011). </w:t>
      </w:r>
      <w:hyperlink r:id="rId4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https://doi.org/10.1016/j.cmet.2011.07.015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 Minh, H. V. et al. Assessment of preferred methods to measure insulin resistance in Asian patients with hypertension. J Clin Hypertens (Greenwich) 23, 529–537 (2021). https://doi.org/10.1111/jch.14155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 Simental-Mendía, L. E., Rodríguez-Morán, M. &amp; Guerrero-Romero, F. The product of fasting glucose and triglycerides as surrogate for identifying insulin resistance in apparently healthy subjects. Metab Syndr Relat Disord 6, 299–304 (2008). </w:t>
      </w:r>
      <w:hyperlink r:id="rId5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https://doi.org/10.1089/met.2008.0034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8 Tao, L. C., Xu, J. N., Wang, T. T., Hua, F. &amp; Li, J. J. Triglyceride-glucose index as a marker in cardiovascular diseases: landscape and limitations. Cardiovasc Diabetol 21, 68 (2022). https://doi.org/10.1186/s12933-022-01511-x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9 Shi, W. et al. Value of triglyceride-glucose index for the estimation of ischemic stroke risk: Insights from a general population. Nutr Metab Cardiovasc Dis 30, 245–253 (2020). </w:t>
      </w:r>
      <w:hyperlink r:id="rId6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https://doi.org/10.1016/j.numecd.2019.09.015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10 Guo, W. et al. Triglyceride Glucose Index Is Associated With Arterial Stiffness and 10-Year Cardiovascular Disease Risk in a Chinese Population. Front Cardiovasc Med 8, 585776 (2021). </w:t>
      </w:r>
      <w:hyperlink r:id="rId7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https://doi.org/10.3389/fcvm.2021.585776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11 Su, W. Y. et al. Comparison of the Effects of Fasting Glucose, Hemoglobin A(1c), and Triglyceride-Glucose Index on Cardiovascular Events in Type 2 Diabetes Mellitus. Nutrients 11 (2019). https://doi.org/10.3390/nu11112838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12 Li, S. et al. The role of the triglyceride (triacylglycerol) glucose index in the development of cardiovascular events: a retrospective cohort analysis. Sci Rep 9, 7320 (2019). </w:t>
      </w:r>
      <w:hyperlink r:id="rId8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https://doi.org/10.1038/s41598-019-43776-5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13 Hong, S., Han, K. &amp; Park, C. Y. The triglyceride glucose index is a simple and low-cost marker associated with atherosclerotic cardiovascular disease: a population-based study. BMC Med 18, 361 (2020). https://doi.org/10.1186/s12916-020-01824-2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14 Bertoluci, M. C., Quadros, A. S., Sarmento-Leite, R. &amp; Schaan, B. D. Insulin resistance and triglyceride/HDL c index are associated with coronary artery disease. Diabetology &amp; metabolic syndrome 2, 1–5 (2010).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15 Thai, P. V., Tien, H. A., Van Minh, H. &amp; Valensi, P. Triglyceride glucose index for the detection of asymptomatic coronary artery stenosis in patients with type 2 diabetes. Cardiovasc Diabetol 19, 137 (2020). https://doi.org/10.1186/s12933-020-01108-2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16 Huang, R. et al. Prognostic value of triglyceride glucose (TyG) index in patients with acute decompensated heart failure. Cardiovasc Diabetol 21, 88 (2022). https://doi.org/10.1186/s12933-022-01507-7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17 Lee, E. Y. et al. Triglyceride glucose index, a marker of insulin resistance, is associated with coronary artery stenosis in asymptomatic subjects with type 2 diabetes. Lipids Health Dis 15, 155 (2016). https://doi.org/10.1186/s12944-016-0324-2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18 Zhu, Y. et al. Triglyceride-glucose index is associated with in-stent restenosis in patients with acute coronary syndrome after percutaneous coronary intervention with drug-eluting stents. Cardiovasc Diabetol 20, 137 (2021). https://doi.org/10.1186/s12933-021-01332-4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19 Vallianou, N. G., Mitesh, S., Gkogkou, A. &amp; Geladari, E. Chronic Kidney Disease and Cardiovascular Disease: Is there Any Relationship? Curr Cardiol Rev 15, 55–63 (2019). https://doi.org/10.2174/1573403x14666180711124825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20 KDIGO 2024 Clinical Practice Guideline for the Evaluation and Management of Chronic Kidney Disease. Kidney Int 105, S117–s314 (2024). </w:t>
      </w:r>
      <w:hyperlink r:id="rId9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https://doi.org/10.1016/j.kint.2023.10.018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21 Briasoulis, A. &amp; Bakris, G. L. Chronic kidney disease as a coronary artery disease risk equivalent. Curr Cardiol Rep 15, 340 (2013). https://doi.org/10.1007/s11886-012-0340-4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22 Lees, J. S. et al. Glomerular filtration rate by differing measures, albuminuria and prediction of cardiovascular disease, mortality and end-stage kidney disease. Nat Med 25, 1753–1760 (2019). </w:t>
      </w:r>
      <w:hyperlink r:id="rId10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https://doi.org/10.1038/s41591-019-0627-8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23 Donfrancesco, C. et al. Estimated glomerular filtration rate, all-cause mortality and cardiovascular diseases incidence in a low risk population: the MATISS study. PLoS One 8, e78475 (2013). https://doi.org/10.1371/journal.pone.0078475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24 Elliott, P. &amp; Peakman, T. C. The UK Biobank sample handling and storage protocol for the collection, processing and archiving of human blood and urine. Int J Epidemiol 37, 234–244 (2008). https://doi.org/10.1093/ije/dym276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25 Fritz, J. et al. The triglyceride-glucose index as a measure of insulin resistance and risk of obesity-related cancers. Int J Epidemiol 49, 193–204 (2020). https://doi.org/10.1093/ije/dyz053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26 Levey, A. S. et al. A new equation to estimate glomerular filtration rate. Ann Intern Med 150, 604–612 (2009). https://doi.org/10.7326/0003-4819-150-9-200905050-00006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27 Tyrrell, J. et al. Height, body mass index, and socioeconomic status: mendelian randomisation study in UK Biobank. Bmj 352, i582 (2016). https://doi.org/10.1136/bmj.i582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28 Craig, C. L. et al. International physical activity questionnaire: 12-country reliability and validity. Med Sci Sports Exerc 35, 1381–1395 (2003). </w:t>
      </w:r>
      <w:hyperlink r:id="rId11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https://doi.org/10.1249/01.Mss.0000078924.61453.Fb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29 Li, Z. et al. Advancing predictive markers in lung adenocarcinoma: A machine learning-based immunotherapy prognostic prediction signature. Environ Toxicol 39, 4581–4593 (2024). </w:t>
      </w:r>
      <w:hyperlink r:id="rId12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https://doi.org/10.1002/tox.24284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30 Zhang, G., Gong, S., Pang, L., Hou, L. &amp; He, W. Efficacy and Safety of Apatinib Treatment for Advanced Cholangiocarcinoma After Failed Gemcitabine-Based Chemotherapy: An Open-Label Phase II Prospective Study. Front Oncol 11, 659217 (2021). </w:t>
      </w:r>
      <w:hyperlink r:id="rId13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https://doi.org/10.3389/fonc.2021.659217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31 Wu, R. et al. Assessing personalized molecular portraits underlying endothelial-to-mesenchymal transition within pulmonary arterial hypertension. Mol Med 30, 189 (2024). https://doi.org/10.1186/s10020-024-00963-z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32 Zhang, S. et al. An assessment system for clinical and biological interpretability in ulcerative colitis. Aging (Albany NY) 16, 3856–3879 (2024). </w:t>
      </w:r>
      <w:hyperlink r:id="rId14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https://doi.org/10.18632/aging.205564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33 Zhang, S. et al. Artificial Intelligence Hybrid Survival Assessment System for Robot-Assisted Proctectomy: A Retrospective Cohort Study. JCO Precis Oncol 8, e2400089 (2024). https://doi.org/10.1200/PO.24.00089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34 Zhang, H. et al. Optimized Dynamic Network Biomarker Deciphers a High-Resolution Heterogeneity Within Thyroid Cancer Molecular Subtypes. Med Research 1, 10–31 (2025). https://doi.org/https://doi.org/10.1002/mdr2.70004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35 Li, H. et al. Triglyceride-glucose index variability and incident cardiovascular disease: a prospective cohort study. Cardiovasc Diabetol 21, 105 (2022). https://doi.org/10.1186/s12933-022-01541-5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36 Cui, C. et al. Triglyceride-glucose index, renal function and cardiovascular disease: a national cohort study. Cardiovasc Diabetol 22, 325 (2023). https://doi.org/10.1186/s12933-023-02055-4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37 Zhang, Y. et al. Association of triglyceride glucose-related parameters with all-cause mortality and cardiovascular disease in NAFLD patients: NHANES 1999-2018. Cardiovasc Diabetol 23, 262 (2024). </w:t>
      </w:r>
      <w:hyperlink r:id="rId15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https://doi.org/10.1186/s12933-024-02354-4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38 Liang, D., Liu, C. &amp; Wang, Y. The association between triglyceride-glucose index and the likelihood of cardiovascular disease in the U.S. population of older adults aged ≥ 60 years: a population-based study. Cardiovasc Diabetol 23, 151 (2024). https://doi.org/10.1186/s12933-024-02248-5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39 Zhang, G. et al. Atherosclerotic plaque vulnerability quantification system for clinical and biological interpretability. iScience 26, 107587 (2023). </w:t>
      </w:r>
      <w:hyperlink r:id="rId16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https://doi.org/10.1016/j.isci.2023.107587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40 Xu, S. et al. Plasma Olink Proteomics Reveals Novel Biomarkers for Prediction and Diagnosis in Dilated Cardiomyopathy with Heart Failure. J Proteome Res 23, 4139–4150 (2024). </w:t>
      </w:r>
      <w:hyperlink r:id="rId17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https://doi.org/10.1021/acs.jproteome.4c00522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41 Zhang, G. et al. Uncovering the genetic links of SARS-CoV-2 infections on heart failure co-morbidity by a systems biology approach. ESC Heart Fail 9, 2937–2954 (2022). </w:t>
      </w:r>
      <w:hyperlink r:id="rId18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https://doi.org/10.1002/ehf2.14003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42 Zhang, G. et al. AI hybrid survival assessment for advanced heart failure patients with renal dysfunction. Nat Commun 15, 6756 (2024). </w:t>
      </w:r>
      <w:hyperlink r:id="rId19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https://doi.org/10.1038/s41467-024-50415-9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43 Yang, Q., Vijayakumar, A. &amp; Kahn, B. B. Metabolites as regulators of insulin sensitivity and metabolism. Nat Rev Mol Cell Biol 19, 654–672 (2018). https://doi.org/10.1038/s41580-018-0044-8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44 Riehle, C. &amp; Abel, E. D. Insulin Signaling and Heart Failure. Circ Res 118, 1151–1169 (2016). </w:t>
      </w:r>
      <w:hyperlink r:id="rId20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https://doi.org/10.1161/circresaha.116.306206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45 Williams, I. L., Wheatcroft, S. B., Shah, A. M. &amp; Kearney, M. T. Obesity, atherosclerosis and the vascular endothelium: mechanisms of reduced nitric oxide bioavailability in obese humans. Int J Obes Relat Metab Disord 26, 754–764 (2002). https://doi.org/10.1038/sj.ijo.0801995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46 Abudukadier, A. et al. Tetrahydrobiopterin has a glucose-lowering effect by suppressing hepatic gluconeogenesis in an endothelial nitric oxide synthase-dependent manner in diabetic mice. Diabetes 62, 3033–3043 (2013). </w:t>
      </w:r>
      <w:hyperlink r:id="rId21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https://doi.org/10.2337/db12-1242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47 Ignarro, L. J., Buga, G. M., Wood, K. S., Byrns, R. E. &amp; Chaudhuri, G. Endothelium-derived relaxing factor produced and released from artery and vein is nitric oxide. Proc Natl Acad Sci U S A 84, 9265–9269 (1987). </w:t>
      </w:r>
      <w:hyperlink r:id="rId22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https://doi.org/10.1073/pnas.84.24.9265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48 Duplain, H. et al. Insulin resistance, hyperlipidemia, and hypertension in mice lacking endothelial nitric oxide synthase. Circulation 104, 342–345 (2001). https://doi.org/10.1161/01.cir.104.3.342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49 Wild, S., Roglic, G., Green, A., Sicree, R. &amp; King, H. Global prevalence of diabetes: estimates for the year 2000 and projections for 2030. Diabetes Care 27, 1047–1053 (2004). </w:t>
      </w:r>
      <w:hyperlink r:id="rId23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https://doi.org/10.2337/diacare.27.5.1047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50 Yip, J., Facchini, F. S. &amp; Reaven, G. M. Resistance to insulin-mediated glucose disposal as a predictor of cardiovascular disease. The Journal of Clinical Endocrinology &amp; Metabolism 83, 2773–2776 (1998).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51 Jeon, J. Y. et al. Prevalence of diabetes and prediabetes according to fasting plasma glucose and HbA1c. Diabetes &amp; metabolism journal 37, 349 (2013).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52 DeFronzo, R. A. &amp; Ferrannini, E. Insulin resistance. A multifaceted syndrome responsible for NIDDM, obesity, hypertension, dyslipidemia, and atherosclerotic cardiovascular disease. Diabetes Care 14, 173–194 (1991). https://doi.org/10.2337/diacare.14.3.173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53 Solinas, G. &amp; Karin, M. JNK1 and IKKbeta: molecular links between obesity and metabolic dysfunction. Faseb j 24, 2596–2611 (2010). </w:t>
      </w:r>
      <w:hyperlink r:id="rId24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https://doi.org/10.1096/fj.09-151340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54 Krause, M., Ludwig, M. S., Heck, T. G. &amp; Takahashi, H. K. Heat shock proteins and heat therapy for type 2 diabetes: pros and cons. Curr Opin Clin Nutr Metab Care 18, 374–380 (2015). https://doi.org/10.1097/mco.0000000000000183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55 Befroy, D. E. et al. Impaired mitochondrial substrate oxidation in muscle of insulin-resistant offspring of type 2 diabetic patients. Diabetes 56, 1376–1381 (2007). </w:t>
      </w:r>
      <w:hyperlink r:id="rId25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https://doi.org/10.2337/db06-0783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56 Kim, J.-a., Wei, Y. &amp; Sowers, J. R. Role of mitochondrial dysfunction in insulin resistance. Circulation research 102, 401–414 (2008).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57 Nishikawa, T. et al. Impact of mitochondrial ROS production in the pathogenesis of insulin resistance. Diabetes Res Clin Pract 77 Suppl 1, S161–164 (2007). </w:t>
      </w:r>
      <w:hyperlink r:id="rId26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https://doi.org/10.1016/j.diabres.2007.01.071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58 Murphy, M. P. Induction of mitochondrial ROS production by electrophilic lipids: a new pathway of redox signaling? Am J Physiol Heart Circ Physiol 290, H1754–1755 (2006). </w:t>
      </w:r>
      <w:hyperlink r:id="rId27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https://doi.org/10.1152/ajpheart.00040.2006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59 Gerrits, A. J., Koekman, C. A., van Haeften, T. W. &amp; Akkerman, J. W. Platelet tissue factor synthesis in type 2 diabetic patients is resistant to inhibition by insulin. Diabetes 59, 1487–1495 (2010). </w:t>
      </w:r>
      <w:hyperlink r:id="rId28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https://doi.org/10.2337/db09-1008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60 Che, B. et al. Triglyceride-glucose index and triglyceride to high-density lipoprotein cholesterol ratio as potential cardiovascular disease risk factors: an analysis of UK biobank data. Cardiovasc Diabetol 22, 34 (2023). https://doi.org/10.1186/s12933-023-01762-2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61 Li, F. et al. Association between the cumulative average triglyceride glucose-body mass index and cardiovascular disease incidence among the middle-aged and older population: a prospective nationwide cohort study in China. Cardiovasc Diabetol 23, 16 (2024). https://doi.org/10.1186/s12933-023-02114-w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62 Dang, K. et al. The association between triglyceride-glucose index and its combination with obesity indicators and cardiovascular disease: NHANES 2003-2018. Cardiovasc Diabetol 23, 8 (2024). </w:t>
      </w:r>
      <w:hyperlink r:id="rId29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https://doi.org/10.1186/s12933-023-02115-9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63 Zhang, Q., Xiao, S., Jiao, X. &amp; Shen, Y. The triglyceride-glucose index is a predictor for cardiovascular and all-cause mortality in CVD patients with diabetes or pre-diabetes: evidence from NHANES 2001-2018. Cardiovasc Diabetol 22, 279 (2023). </w:t>
      </w:r>
      <w:hyperlink r:id="rId30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https://doi.org/10.1186/s12933-023-02030-z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64 Shi, H. et al. TLR4 links innate immunity and fatty acid-induced insulin resistance. J Clin Invest 116, 3015–3025 (2006). </w:t>
      </w:r>
      <w:hyperlink r:id="rId31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https://doi.org/10.1172/jci28898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65 Suganami, T. et al. Attenuation of obesity-induced adipose tissue inflammation in C3H/HeJ mice carrying a Toll-like receptor 4 mutation. Biochem Biophys Res Commun 354, 45–49 (2007). </w:t>
      </w:r>
      <w:hyperlink r:id="rId32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https://doi.org/10.1016/j.bbrc.2006.12.190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66 Poggi, M. et al. C3H/HeJ mice carrying a toll-like receptor 4 mutation are protected against the development of insulin resistance in white adipose tissue in response to a high-fat diet. Diabetologia 50, 1267–1276 (2007). </w:t>
      </w:r>
      <w:hyperlink r:id="rId33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https://doi.org/10.1007/s00125-007-0654-8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67 Kim, F. et al. Toll-like receptor-4 mediates vascular inflammation and insulin resistance in diet-induced obesity. Circ Res 100, 1589–1596 (2007). </w:t>
      </w:r>
      <w:hyperlink r:id="rId34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https://doi.org/10.1161/circresaha.106.142851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68 Zhao, M. et al. HIF-1alpha/JMJD1A signaling regulates inflammation and oxidative stress following hyperglycemia and hypoxia-induced vascular cell injury. Cell Mol Biol Lett 26, 40 (2021). https://doi.org/10.1186/s11658-021-00283-8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69 Duan, M. et al. Metabolic score for insulin resistance (METS-IR) predicts all-cause and cardiovascular mortality in the general population: evidence from NHANES 2001-2018. Cardiovasc Diabetol 23, 243 (2024). </w:t>
      </w:r>
      <w:hyperlink r:id="rId35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https://doi.org/10.1186/s12933-024-02334-8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70 Zhou, X. et al. Causal Links Between Renal Function and Cardiac Structure, Function, and Disease Risk. Glob Heart 19, 83 (2024). https://doi.org/10.5334/gh.1366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71 Suman, S., Pravalika, J., Manjula, P. &amp; Farooq, U. Gender and CVD- Does It Really Matters? Curr Probl Cardiol 48, 101604 (2023). </w:t>
      </w:r>
      <w:hyperlink r:id="rId36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https://doi.org/10.1016/j.cpcardiol.2023.101604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72 Egan, K. J., Knutson, K. L., Pereira, A. C. &amp; von Schantz, M. The role of race and ethnicity in sleep, circadian rhythms and cardiovascular health. Sleep Med Rev 33, 70–78 (2017). </w:t>
      </w:r>
      <w:hyperlink r:id="rId37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https://doi.org/10.1016/j.smrv.2016.05.004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73 Zhao, D., Liu, J., Wang, M., Zhang, X. &amp; Zhou, M. Epidemiology of cardiovascular disease in China: current features and implications. Nat Rev Cardiol 16, 203–212 (2019). https://doi.org/10.1038/s41569-018-0119-4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74 Jankowski, J., Floege, J., Fliser, D., Böhm, M. &amp; Marx, N. Cardiovascular Disease in Chronic Kidney Disease: Pathophysiological Insights and Therapeutic Options. Circulation 143, 1157–1172 (2021). </w:t>
      </w:r>
      <w:hyperlink r:id="rId38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https://doi.org/10.1161/circulationaha.120.050686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75 Guérin, A. P., London, G. M., Marchais, S. J. &amp; Metivier, F. Arterial stiffening and vascular calcifications in end-stage renal disease. Nephrol Dial Transplant 15, 1014–1021 (2000). </w:t>
      </w:r>
      <w:hyperlink r:id="rId39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https://doi.org/10.1093/ndt/15.7.1014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76 Zoccali, C. et al. The systemic nature of CKD. Nat Rev Nephrol 13, 344–358 (2017). </w:t>
      </w:r>
      <w:hyperlink r:id="rId40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https://doi.org/10.1038/nrneph.2017.52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77 Alhaj, E. et al. Uremic cardiomyopathy: an underdiagnosed disease. Congest Heart Fail 19, E40–45 (2013). https://doi.org/10.1111/chf.12030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78 Glassock, R. J., Pecoits-Filho, R. &amp; Barberato, S. H. Left ventricular mass in chronic kidney disease and ESRD. Clin J Am Soc Nephrol 4 Suppl 1, S79–91 (2009). https://doi.org/10.2215/cjn.04860709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79 Ozkahya, M. et al. Regression of left ventricular hypertrophy in haemodialysis patients by ultrafiltration and reduced salt intake without antihypertensive drugs. Nephrol Dial Transplant 13, 1489–1493 (1998). </w:t>
      </w:r>
      <w:hyperlink r:id="rId41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https://doi.org/10.1093/ndt/13.6.1489</w:t>
        </w:r>
      </w:hyperlink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80 Charra, B. &amp; Chazot, C. The neglect of sodium restriction in dialysis patients: a short review. Hemodial Int 7, 342–347 (2003). </w:t>
      </w:r>
      <w:hyperlink r:id="rId42" w:history="1">
        <w:r>
          <w:rPr>
            <w:color w:val="0000FF"/>
            <w:u w:val="single"/>
            <w:rFonts w:ascii="Times New Roman" w:hAnsi="Times New Roman"/>
            <w:sz w:val="24"/>
          </w:rPr>
          <w:t xml:space="preserve">https://doi.org/10.1046/j.1492-7535.2003.00060.x</w:t>
        </w:r>
      </w:hyperlink>
    </w:p>
    <w:sectPr>
      <w:pgSz w:w="12240" w:h="15840"/>
      <w:pgMar w:top="1440" w:right="1440" w:bottom="1440" w:left="1440" w:header="720" w:footer="720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qFormat/>
    <w:pPr>
      <w:spacing w:line="240" w:lineRule="auto" w:before="0" w:after="24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spacing w:before="240" w:after="240" w:line="240" w:lineRule="auto"/>
    </w:pPr>
    <w:rPr>
      <w:b/>
      <w:rFonts w:ascii="Times New Roman" w:hAnsi="Times New Roman"/>
      <w:sz w:val="24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doi.org/10.1016/s0140-6736(18)32203-7" TargetMode="External"/><Relationship Id="rId3" Type="http://schemas.openxmlformats.org/officeDocument/2006/relationships/hyperlink" Target="https://doi.org/10.1016/j.jacc.2020.11.010" TargetMode="External"/><Relationship Id="rId4" Type="http://schemas.openxmlformats.org/officeDocument/2006/relationships/hyperlink" Target="https://doi.org/10.1016/j.cmet.2011.07.015" TargetMode="External"/><Relationship Id="rId5" Type="http://schemas.openxmlformats.org/officeDocument/2006/relationships/hyperlink" Target="https://doi.org/10.1089/met.2008.0034" TargetMode="External"/><Relationship Id="rId6" Type="http://schemas.openxmlformats.org/officeDocument/2006/relationships/hyperlink" Target="https://doi.org/10.1016/j.numecd.2019.09.015" TargetMode="External"/><Relationship Id="rId7" Type="http://schemas.openxmlformats.org/officeDocument/2006/relationships/hyperlink" Target="https://doi.org/10.3389/fcvm.2021.585776" TargetMode="External"/><Relationship Id="rId8" Type="http://schemas.openxmlformats.org/officeDocument/2006/relationships/hyperlink" Target="https://doi.org/10.1038/s41598-019-43776-5" TargetMode="External"/><Relationship Id="rId9" Type="http://schemas.openxmlformats.org/officeDocument/2006/relationships/hyperlink" Target="https://doi.org/10.1016/j.kint.2023.10.018" TargetMode="External"/><Relationship Id="rId10" Type="http://schemas.openxmlformats.org/officeDocument/2006/relationships/hyperlink" Target="https://doi.org/10.1038/s41591-019-0627-8" TargetMode="External"/><Relationship Id="rId11" Type="http://schemas.openxmlformats.org/officeDocument/2006/relationships/hyperlink" Target="https://doi.org/10.1249/01.Mss.0000078924.61453.Fb" TargetMode="External"/><Relationship Id="rId12" Type="http://schemas.openxmlformats.org/officeDocument/2006/relationships/hyperlink" Target="https://doi.org/10.1002/tox.24284" TargetMode="External"/><Relationship Id="rId13" Type="http://schemas.openxmlformats.org/officeDocument/2006/relationships/hyperlink" Target="https://doi.org/10.3389/fonc.2021.659217" TargetMode="External"/><Relationship Id="rId14" Type="http://schemas.openxmlformats.org/officeDocument/2006/relationships/hyperlink" Target="https://doi.org/10.18632/aging.205564" TargetMode="External"/><Relationship Id="rId15" Type="http://schemas.openxmlformats.org/officeDocument/2006/relationships/hyperlink" Target="https://doi.org/10.1186/s12933-024-02354-4" TargetMode="External"/><Relationship Id="rId16" Type="http://schemas.openxmlformats.org/officeDocument/2006/relationships/hyperlink" Target="https://doi.org/10.1016/j.isci.2023.107587" TargetMode="External"/><Relationship Id="rId17" Type="http://schemas.openxmlformats.org/officeDocument/2006/relationships/hyperlink" Target="https://doi.org/10.1021/acs.jproteome.4c00522" TargetMode="External"/><Relationship Id="rId18" Type="http://schemas.openxmlformats.org/officeDocument/2006/relationships/hyperlink" Target="https://doi.org/10.1002/ehf2.14003" TargetMode="External"/><Relationship Id="rId19" Type="http://schemas.openxmlformats.org/officeDocument/2006/relationships/hyperlink" Target="https://doi.org/10.1038/s41467-024-50415-9" TargetMode="External"/><Relationship Id="rId20" Type="http://schemas.openxmlformats.org/officeDocument/2006/relationships/hyperlink" Target="https://doi.org/10.1161/circresaha.116.306206" TargetMode="External"/><Relationship Id="rId21" Type="http://schemas.openxmlformats.org/officeDocument/2006/relationships/hyperlink" Target="https://doi.org/10.2337/db12-1242" TargetMode="External"/><Relationship Id="rId22" Type="http://schemas.openxmlformats.org/officeDocument/2006/relationships/hyperlink" Target="https://doi.org/10.1073/pnas.84.24.9265" TargetMode="External"/><Relationship Id="rId23" Type="http://schemas.openxmlformats.org/officeDocument/2006/relationships/hyperlink" Target="https://doi.org/10.2337/diacare.27.5.1047" TargetMode="External"/><Relationship Id="rId24" Type="http://schemas.openxmlformats.org/officeDocument/2006/relationships/hyperlink" Target="https://doi.org/10.1096/fj.09-151340" TargetMode="External"/><Relationship Id="rId25" Type="http://schemas.openxmlformats.org/officeDocument/2006/relationships/hyperlink" Target="https://doi.org/10.2337/db06-0783" TargetMode="External"/><Relationship Id="rId26" Type="http://schemas.openxmlformats.org/officeDocument/2006/relationships/hyperlink" Target="https://doi.org/10.1016/j.diabres.2007.01.071" TargetMode="External"/><Relationship Id="rId27" Type="http://schemas.openxmlformats.org/officeDocument/2006/relationships/hyperlink" Target="https://doi.org/10.1152/ajpheart.00040.2006" TargetMode="External"/><Relationship Id="rId28" Type="http://schemas.openxmlformats.org/officeDocument/2006/relationships/hyperlink" Target="https://doi.org/10.2337/db09-1008" TargetMode="External"/><Relationship Id="rId29" Type="http://schemas.openxmlformats.org/officeDocument/2006/relationships/hyperlink" Target="https://doi.org/10.1186/s12933-023-02115-9" TargetMode="External"/><Relationship Id="rId30" Type="http://schemas.openxmlformats.org/officeDocument/2006/relationships/hyperlink" Target="https://doi.org/10.1186/s12933-023-02030-z" TargetMode="External"/><Relationship Id="rId31" Type="http://schemas.openxmlformats.org/officeDocument/2006/relationships/hyperlink" Target="https://doi.org/10.1172/jci28898" TargetMode="External"/><Relationship Id="rId32" Type="http://schemas.openxmlformats.org/officeDocument/2006/relationships/hyperlink" Target="https://doi.org/10.1016/j.bbrc.2006.12.190" TargetMode="External"/><Relationship Id="rId33" Type="http://schemas.openxmlformats.org/officeDocument/2006/relationships/hyperlink" Target="https://doi.org/10.1007/s00125-007-0654-8" TargetMode="External"/><Relationship Id="rId34" Type="http://schemas.openxmlformats.org/officeDocument/2006/relationships/hyperlink" Target="https://doi.org/10.1161/circresaha.106.142851" TargetMode="External"/><Relationship Id="rId35" Type="http://schemas.openxmlformats.org/officeDocument/2006/relationships/hyperlink" Target="https://doi.org/10.1186/s12933-024-02334-8" TargetMode="External"/><Relationship Id="rId36" Type="http://schemas.openxmlformats.org/officeDocument/2006/relationships/hyperlink" Target="https://doi.org/10.1016/j.cpcardiol.2023.101604" TargetMode="External"/><Relationship Id="rId37" Type="http://schemas.openxmlformats.org/officeDocument/2006/relationships/hyperlink" Target="https://doi.org/10.1016/j.smrv.2016.05.004" TargetMode="External"/><Relationship Id="rId38" Type="http://schemas.openxmlformats.org/officeDocument/2006/relationships/hyperlink" Target="https://doi.org/10.1161/circulationaha.120.050686" TargetMode="External"/><Relationship Id="rId39" Type="http://schemas.openxmlformats.org/officeDocument/2006/relationships/hyperlink" Target="https://doi.org/10.1093/ndt/15.7.1014" TargetMode="External"/><Relationship Id="rId40" Type="http://schemas.openxmlformats.org/officeDocument/2006/relationships/hyperlink" Target="https://doi.org/10.1038/nrneph.2017.52" TargetMode="External"/><Relationship Id="rId41" Type="http://schemas.openxmlformats.org/officeDocument/2006/relationships/hyperlink" Target="https://doi.org/10.1093/ndt/13.6.1489" TargetMode="External"/><Relationship Id="rId42" Type="http://schemas.openxmlformats.org/officeDocument/2006/relationships/hyperlink" Target="https://doi.org/10.1046/j.1492-7535.2003.00060.x" TargetMode=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PDMR SCAPE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 Pre-edited Manuscript</dc:title>
  <dc:creator>PDMR SCAPE</dc:creator>
  <cp:lastModifiedBy>PDMR SCAPE</cp:lastModifiedBy>
  <dcterms:created xsi:type="dcterms:W3CDTF">2026-06-11T09:50:12Z</dcterms:created>
  <dcterms:modified xsi:type="dcterms:W3CDTF">2026-06-11T09:50:12Z</dcterms:modified>
</cp:coreProperties>
</file>