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Muench S, Bhat D, Heindel L, Hantschke P, Roellig M, Kaestner M (2022) Performance Assessment of different Machine Learning Algorithm for Life-Time Prediction of Solder Joints based on Synthetic Data. St Julian, Malta; 2022. p. 1-10. https://doi.org/10.1109/EuroSimE54907.2022.9758919</w:t>
      </w:r>
    </w:p>
    <w:p>
      <w:pPr>
        <w:spacing w:line="240" w:lineRule="auto" w:before="0" w:after="240"/>
      </w:pPr>
      <w:r>
        <w:rPr>
          <w:rFonts w:ascii="Times New Roman" w:hAnsi="Times New Roman"/>
          <w:sz w:val="24"/>
        </w:rPr>
        <w:t xml:space="preserve">11. Wang MD, Yoon BJ, Wang Z, Xiao C, Sun J. SPOT: Sequential Predictive Modeling of Clinical Trial outcome with meta-Learning. Proc 14th ACM Conf. Bioinformatics, Computational Biology, and Health Informatics (ACM-BCB 2023). 2023 1-11.</w:t>
      </w:r>
    </w:p>
    <w:p>
      <w:pPr>
        <w:spacing w:line="240" w:lineRule="auto" w:before="0" w:after="240"/>
      </w:pPr>
      <w:r>
        <w:rPr>
          <w:rFonts w:ascii="Times New Roman" w:hAnsi="Times New Roman"/>
          <w:sz w:val="24"/>
        </w:rPr>
        <w:t xml:space="preserve">14. Thrusfield, M. (2018): Veterinary Epidemiology, Fourth Edition, Veterinary Clinical Sciences Royal (Dick) School of Veterinary Studies, University of Edinburgh, Blackwell Publishing company, by John Wiley and Sons Ltd. UK., 7(4): 270-294.</w:t>
      </w:r>
    </w:p>
    <w:p>
      <w:pPr>
        <w:spacing w:line="240" w:lineRule="auto" w:before="0" w:after="240"/>
      </w:pPr>
      <w:r>
        <w:rPr>
          <w:rFonts w:ascii="Times New Roman" w:hAnsi="Times New Roman"/>
          <w:sz w:val="24"/>
        </w:rPr>
        <w:t xml:space="preserve">Jing WT, Xue S, Yao SJ, Wang WJ, Yan YF, Wang ZX, et al (2022) Fast Prediction Method of SMT Solder Joint Shape and Reliability Based on Gated Recurrent Unit (GRU) Proceedings of the Eighth Asia International Symposium on Mechatronics p. 1330-1343. https://doi.org/10.1007/978-981-19-1309-9_129</w:t>
      </w:r>
    </w:p>
    <w:p>
      <w:pPr>
        <w:spacing w:line="240" w:lineRule="auto" w:before="0" w:after="240"/>
      </w:pPr>
      <w:r>
        <w:rPr>
          <w:rFonts w:ascii="Times New Roman" w:hAnsi="Times New Roman"/>
          <w:sz w:val="24"/>
        </w:rPr>
        <w:t xml:space="preserve">Yao PL, Yang J, Zhang YL, Fan XS, Chen HB, Yang JL et al (2022) Physics-based Nested-ANN Approach for Fan-Out Wafer-Level Package Reliability Prediction. San Diego, CA, USA; 2022. p. 1827-1833. https://doi.org/10.1109/ECTC51906.2022.00287</w:t>
      </w:r>
    </w:p>
    <w:p>
      <w:pPr>
        <w:spacing w:line="240" w:lineRule="auto" w:before="0" w:after="240"/>
      </w:pPr>
      <w:r>
        <w:rPr>
          <w:rFonts w:ascii="Times New Roman" w:hAnsi="Times New Roman"/>
          <w:sz w:val="24"/>
        </w:rPr>
        <w:t xml:space="preserve">Sinha T, Sikka K, Lall R (2021) Artificial Neural Networks and Bayesian Techniques for Flip-Chip Package Thermo-Mechanical Analysis. San Diego, CA, USA; 1442-1449. https://doi.org/10.1109/ECTC32696. 32696</w:t>
      </w:r>
    </w:p>
    <w:p>
      <w:pPr>
        <w:spacing w:line="240" w:lineRule="auto" w:before="0" w:after="240"/>
      </w:pPr>
      <w:r>
        <w:rPr>
          <w:rFonts w:ascii="Times New Roman" w:hAnsi="Times New Roman"/>
          <w:sz w:val="24"/>
        </w:rPr>
        <w:t xml:space="preserve">5. Gade F, Lund O, Mendoza ML. Benchmarking zero-shot biomedical relation triplet extraction across language model architectures. In: Proceedings of the 24th Workshop on Biomedical Language Processing. Association for Computational Linguistics; 2025:88-100. doi:10.18653/v1/2025.bionlp-1.9</w:t>
      </w:r>
    </w:p>
    <w:p>
      <w:pPr>
        <w:spacing w:line="240" w:lineRule="auto" w:before="0" w:after="240"/>
      </w:pPr>
      <w:r>
        <w:rPr>
          <w:rFonts w:ascii="Times New Roman" w:hAnsi="Times New Roman"/>
          <w:sz w:val="24"/>
        </w:rPr>
        <w:t xml:space="preserve">6. Clavié B, Ciceu A, Naylor F, Soulié G, Brightwell T. Large Language Models in the Workplace: A Case Study on Prompt Engineering for Job Type Classification. In: Métais E, Meziane F, Sugumaran V, Manning W, Reiff-Marganiec S, eds. Natural Language Processing and Information Systems. Vol 13913. Lecture Notes in Computer Science. Springer Nature Switzerland; 2023:3-17. doi:10.1007/978-3-031-35320-8_1</w:t>
      </w:r>
    </w:p>
    <w:p>
      <w:pPr>
        <w:spacing w:line="240" w:lineRule="auto" w:before="0" w:after="240"/>
      </w:pPr>
      <w:r>
        <w:rPr>
          <w:rFonts w:ascii="Times New Roman" w:hAnsi="Times New Roman"/>
          <w:sz w:val="24"/>
        </w:rPr>
        <w:t xml:space="preserve">7. Pisarevskaya D, Zubiaga A. Zero-shot and Few-shot Learning with Instruction-following LLMs for Claim Matching in Automated Fact-checking. In: Rambow O, Wanner L, Apidianaki M, Al-Khalifa H, Eugenio BD, Schockaert S, eds. Proceedings of the 31st International Conference on Computational Linguistics. Association for Computational Linguistics; 2025:9721-9736. https://aclanthology.org/2025.coling-main.650/</w:t>
      </w:r>
    </w:p>
    <w:p>
      <w:pPr>
        <w:spacing w:line="240" w:lineRule="auto" w:before="0" w:after="240"/>
      </w:pPr>
      <w:r>
        <w:rPr>
          <w:rFonts w:ascii="Times New Roman" w:hAnsi="Times New Roman"/>
          <w:sz w:val="24"/>
        </w:rPr>
        <w:t xml:space="preserve">8. Jahan I, Laskar MTR, Peng C, Huang J. Evaluation of ChatGPT on Biomedical Tasks: A Zero-Shot Comparison with Fine-Tuned Generative Transformers. In: The 22nd Workshop on Biomedical Natural Language Processing and BioNLP Shared Tasks. Association for Computational Linguistics; 2023:326-336. doi:10.18653/v1/2023.bionlp-1.30</w:t>
      </w:r>
    </w:p>
    <w:p>
      <w:pPr>
        <w:spacing w:line="240" w:lineRule="auto" w:before="0" w:after="240"/>
      </w:pPr>
      <w:r>
        <w:rPr>
          <w:rFonts w:ascii="Times New Roman" w:hAnsi="Times New Roman"/>
          <w:sz w:val="24"/>
        </w:rPr>
        <w:t xml:space="preserve">9. Carlini N, Tramer F, Wallace E, et al. Extracting Training Data from Large Language Models. June 15, 2021. Accessed July 15, 2023. http://arxiv.org/abs/2012.07805</w:t>
      </w:r>
    </w:p>
    <w:p>
      <w:pPr>
        <w:spacing w:line="240" w:lineRule="auto" w:before="0" w:after="240"/>
      </w:pPr>
      <w:r>
        <w:rPr>
          <w:rFonts w:ascii="Times New Roman" w:hAnsi="Times New Roman"/>
          <w:sz w:val="24"/>
        </w:rPr>
        <w:t xml:space="preserve">10. Li Y, Wehbe RM, Ahmad FS, Wang H, Luo Y. Clinical-Longformer and Clinical-BigBird: Transformers for long clinical sequences. arXiv. Preprint posted online 2022. doi:10.48550/ARXIV.2201.11838</w:t>
      </w:r>
    </w:p>
    <w:p>
      <w:pPr>
        <w:spacing w:line="240" w:lineRule="auto" w:before="0" w:after="240"/>
      </w:pPr>
      <w:r>
        <w:rPr>
          <w:rFonts w:ascii="Times New Roman" w:hAnsi="Times New Roman"/>
          <w:sz w:val="24"/>
        </w:rPr>
        <w:t xml:space="preserve">12. DeLahunta, A. and Habel, R. E. (1986): Applied veterinary anatomy (No. SF 761. D44 1986). 2nd Edition, Saunders, 1986.</w:t>
      </w:r>
    </w:p>
    <w:p>
      <w:pPr>
        <w:spacing w:line="240" w:lineRule="auto" w:before="0" w:after="240"/>
      </w:pPr>
      <w:r>
        <w:rPr>
          <w:rFonts w:ascii="Times New Roman" w:hAnsi="Times New Roman"/>
          <w:sz w:val="24"/>
        </w:rPr>
        <w:t xml:space="preserve">13. Mike, S. (1996): Goats: In the tropical agriculturalist. Macmillan. 1st Edition, Malaysia. 79-83.</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2026-06-16T04:49:03Z</dcterms:created>
  <dcterms:modified xsi:type="dcterms:W3CDTF">2026-06-16T04:49:03Z</dcterms:modified>
</cp:coreProperties>
</file>